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19175CF1" w14:textId="77777777" w:rsidR="002A515E" w:rsidRPr="009546E7" w:rsidRDefault="002A515E" w:rsidP="002A515E">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30554A11" w14:textId="77777777" w:rsidR="002A515E" w:rsidRPr="009546E7" w:rsidRDefault="002A515E" w:rsidP="002A515E">
      <w:pPr>
        <w:spacing w:after="0"/>
        <w:jc w:val="both"/>
        <w:rPr>
          <w:sz w:val="20"/>
          <w:szCs w:val="20"/>
        </w:rPr>
      </w:pPr>
    </w:p>
    <w:p w14:paraId="3F30845A" w14:textId="73973897" w:rsidR="00367E0A" w:rsidRDefault="002A515E" w:rsidP="002A515E">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0E61B136" w:rsidR="00E60F03" w:rsidRPr="009546E7" w:rsidRDefault="007B774C" w:rsidP="00E60F03">
      <w:pPr>
        <w:pStyle w:val="Prrafodelista"/>
        <w:spacing w:after="0"/>
        <w:ind w:left="360"/>
        <w:rPr>
          <w:sz w:val="20"/>
          <w:szCs w:val="20"/>
        </w:rPr>
      </w:pPr>
      <w:r w:rsidRPr="007B774C">
        <w:rPr>
          <w:sz w:val="20"/>
          <w:szCs w:val="20"/>
        </w:rPr>
        <w:t>Coeficiente de variación</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487E4C18" w14:textId="636FE77F" w:rsidR="007B774C" w:rsidRDefault="007B774C" w:rsidP="007B774C">
      <w:pPr>
        <w:pStyle w:val="Prrafodelista"/>
        <w:spacing w:after="0"/>
        <w:ind w:left="360"/>
        <w:jc w:val="both"/>
        <w:rPr>
          <w:sz w:val="20"/>
          <w:szCs w:val="20"/>
        </w:rPr>
      </w:pPr>
      <w:r w:rsidRPr="007B774C">
        <w:rPr>
          <w:sz w:val="20"/>
          <w:szCs w:val="20"/>
        </w:rPr>
        <w:t>Mediante el acuerdo CAC-006/01/2018</w:t>
      </w:r>
      <w:r>
        <w:rPr>
          <w:sz w:val="20"/>
          <w:szCs w:val="20"/>
        </w:rPr>
        <w:t xml:space="preserve"> en la primera sesión del 2018</w:t>
      </w:r>
      <w:r w:rsidRPr="007B774C">
        <w:rPr>
          <w:sz w:val="20"/>
          <w:szCs w:val="20"/>
        </w:rPr>
        <w:t>, el Comité aprobó por unanimidad de votos de sus integrantes presentes, los umbrales y especificaciones para la publicación en los tabulados de la cobertura de la variable de diseño.</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7D88E52E" w:rsidR="00E60F03" w:rsidRDefault="007B774C" w:rsidP="00690384">
      <w:pPr>
        <w:pStyle w:val="Prrafodelista"/>
        <w:spacing w:after="0"/>
        <w:ind w:left="360"/>
        <w:jc w:val="both"/>
        <w:rPr>
          <w:sz w:val="20"/>
          <w:szCs w:val="20"/>
        </w:rPr>
      </w:pPr>
      <w:r w:rsidRPr="007B774C">
        <w:rPr>
          <w:sz w:val="20"/>
          <w:szCs w:val="20"/>
        </w:rPr>
        <w:t xml:space="preserve">A partir del segundo trimestre de 2018, el coeficiente de variación deberá de ser calculado y publicado en la forma estandarizada que se defina para las variables principales y dominios de estudio de todos los </w:t>
      </w:r>
      <w:r>
        <w:rPr>
          <w:sz w:val="20"/>
          <w:szCs w:val="20"/>
        </w:rPr>
        <w:t>procesos de producción</w:t>
      </w:r>
      <w:r w:rsidRPr="007B774C">
        <w:rPr>
          <w:sz w:val="20"/>
          <w:szCs w:val="20"/>
        </w:rPr>
        <w:t xml:space="preserve"> con muestreo probabilístico.</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5BBB6177" w:rsidR="009935FA" w:rsidRDefault="009935FA" w:rsidP="00EF01DE">
      <w:pPr>
        <w:pStyle w:val="Prrafodelista"/>
        <w:spacing w:after="0"/>
        <w:ind w:left="360"/>
        <w:jc w:val="both"/>
        <w:rPr>
          <w:b/>
          <w:bCs/>
          <w:sz w:val="20"/>
          <w:szCs w:val="20"/>
        </w:rPr>
      </w:pPr>
      <w:r w:rsidRPr="007B774C">
        <w:rPr>
          <w:sz w:val="20"/>
          <w:szCs w:val="20"/>
        </w:rPr>
        <w:t>El coeficiente de variación es un indicador de uso combinado, internamente se utiliza por los responsables de pro</w:t>
      </w:r>
      <w:r>
        <w:rPr>
          <w:sz w:val="20"/>
          <w:szCs w:val="20"/>
        </w:rPr>
        <w:t>cesos de producción</w:t>
      </w:r>
      <w:r w:rsidRPr="007B774C">
        <w:rPr>
          <w:sz w:val="20"/>
          <w:szCs w:val="20"/>
        </w:rPr>
        <w:t xml:space="preserve"> para analizar la calidad de la estimación. Externamente, para facilitar a los usuarios la interpretación de la precisión estadística de las estimaciones y </w:t>
      </w:r>
      <w:r>
        <w:rPr>
          <w:sz w:val="20"/>
          <w:szCs w:val="20"/>
        </w:rPr>
        <w:t>su</w:t>
      </w:r>
      <w:r w:rsidRPr="007B774C">
        <w:rPr>
          <w:sz w:val="20"/>
          <w:szCs w:val="20"/>
        </w:rPr>
        <w:t xml:space="preserve"> confiabilidad</w:t>
      </w:r>
      <w:r>
        <w:rPr>
          <w:sz w:val="20"/>
          <w:szCs w:val="20"/>
        </w:rPr>
        <w:t>.</w:t>
      </w:r>
    </w:p>
    <w:p w14:paraId="577077BC" w14:textId="77777777" w:rsidR="009935FA" w:rsidRDefault="009935FA" w:rsidP="009935FA">
      <w:pPr>
        <w:pStyle w:val="Prrafodelista"/>
        <w:spacing w:after="0"/>
        <w:ind w:left="360"/>
        <w:rPr>
          <w:b/>
          <w:bCs/>
          <w:sz w:val="20"/>
          <w:szCs w:val="20"/>
        </w:rPr>
      </w:pPr>
    </w:p>
    <w:p w14:paraId="3C0BABB9" w14:textId="39F95622" w:rsidR="009935FA" w:rsidRDefault="009935FA" w:rsidP="009546E7">
      <w:pPr>
        <w:pStyle w:val="Prrafodelista"/>
        <w:numPr>
          <w:ilvl w:val="1"/>
          <w:numId w:val="2"/>
        </w:numPr>
        <w:spacing w:after="0"/>
        <w:rPr>
          <w:b/>
          <w:bCs/>
          <w:sz w:val="20"/>
          <w:szCs w:val="20"/>
        </w:rPr>
      </w:pPr>
      <w:r>
        <w:rPr>
          <w:b/>
          <w:bCs/>
          <w:sz w:val="20"/>
          <w:szCs w:val="20"/>
        </w:rPr>
        <w:t>Procesos estadísticos para los cuales no aplica el cálculo de este indicador:</w:t>
      </w:r>
    </w:p>
    <w:p w14:paraId="7FDA1C92" w14:textId="77777777" w:rsidR="009935FA" w:rsidRDefault="009935FA" w:rsidP="00E60F03">
      <w:pPr>
        <w:pStyle w:val="Prrafodelista"/>
        <w:spacing w:after="0"/>
        <w:ind w:left="360"/>
        <w:rPr>
          <w:sz w:val="20"/>
          <w:szCs w:val="20"/>
        </w:rPr>
      </w:pPr>
      <w:r>
        <w:rPr>
          <w:sz w:val="20"/>
          <w:szCs w:val="20"/>
        </w:rPr>
        <w:t xml:space="preserve">Unidad de Estadisticas Sociodemográficas. Dirección de Diseño y Marcos Estadísticos. </w:t>
      </w:r>
    </w:p>
    <w:p w14:paraId="3575D060" w14:textId="231F38FE" w:rsidR="009935FA" w:rsidRDefault="009935FA" w:rsidP="009935FA">
      <w:pPr>
        <w:pStyle w:val="Prrafodelista"/>
        <w:numPr>
          <w:ilvl w:val="0"/>
          <w:numId w:val="9"/>
        </w:numPr>
        <w:spacing w:after="0"/>
        <w:ind w:left="851"/>
        <w:rPr>
          <w:sz w:val="20"/>
          <w:szCs w:val="20"/>
        </w:rPr>
      </w:pPr>
      <w:r w:rsidRPr="009935FA">
        <w:rPr>
          <w:sz w:val="20"/>
          <w:szCs w:val="20"/>
        </w:rPr>
        <w:t>Encuesta de Origen Destino de la Ciudad de México y la Zona Metropolitana del Valle de México (EOD)</w:t>
      </w:r>
      <w:r>
        <w:rPr>
          <w:sz w:val="20"/>
          <w:szCs w:val="20"/>
        </w:rPr>
        <w:t xml:space="preserve">. </w:t>
      </w:r>
    </w:p>
    <w:p w14:paraId="6769BC32" w14:textId="255AD77D" w:rsidR="009935FA" w:rsidRDefault="009935FA" w:rsidP="009935FA">
      <w:pPr>
        <w:pStyle w:val="Prrafodelista"/>
        <w:numPr>
          <w:ilvl w:val="0"/>
          <w:numId w:val="9"/>
        </w:numPr>
        <w:spacing w:after="0"/>
        <w:ind w:left="851"/>
        <w:rPr>
          <w:sz w:val="20"/>
          <w:szCs w:val="20"/>
        </w:rPr>
      </w:pPr>
      <w:r w:rsidRPr="009935FA">
        <w:rPr>
          <w:sz w:val="20"/>
          <w:szCs w:val="20"/>
        </w:rPr>
        <w:t>Encuesta Nacional sobre Renta de Vivienda y Servicio D</w:t>
      </w:r>
      <w:r>
        <w:rPr>
          <w:sz w:val="20"/>
          <w:szCs w:val="20"/>
        </w:rPr>
        <w:t>o</w:t>
      </w:r>
      <w:r w:rsidRPr="009935FA">
        <w:rPr>
          <w:sz w:val="20"/>
          <w:szCs w:val="20"/>
        </w:rPr>
        <w:t>m</w:t>
      </w:r>
      <w:r>
        <w:rPr>
          <w:sz w:val="20"/>
          <w:szCs w:val="20"/>
        </w:rPr>
        <w:t>é</w:t>
      </w:r>
      <w:r w:rsidRPr="009935FA">
        <w:rPr>
          <w:sz w:val="20"/>
          <w:szCs w:val="20"/>
        </w:rPr>
        <w:t>stico (ENREVID)</w:t>
      </w:r>
    </w:p>
    <w:p w14:paraId="6EF88FC1" w14:textId="34C51E5E" w:rsidR="009935FA" w:rsidRDefault="009935FA" w:rsidP="009935FA">
      <w:pPr>
        <w:pStyle w:val="Prrafodelista"/>
        <w:numPr>
          <w:ilvl w:val="0"/>
          <w:numId w:val="9"/>
        </w:numPr>
        <w:spacing w:after="0"/>
        <w:ind w:left="851"/>
        <w:rPr>
          <w:sz w:val="20"/>
          <w:szCs w:val="20"/>
        </w:rPr>
      </w:pPr>
      <w:r w:rsidRPr="009935FA">
        <w:rPr>
          <w:sz w:val="20"/>
          <w:szCs w:val="20"/>
        </w:rPr>
        <w:t>Encuesta Nacional de Vivienda (ENVI)</w:t>
      </w:r>
    </w:p>
    <w:p w14:paraId="47274D35" w14:textId="12497A82" w:rsidR="009935FA" w:rsidRDefault="009935FA" w:rsidP="009935FA">
      <w:pPr>
        <w:pStyle w:val="Prrafodelista"/>
        <w:numPr>
          <w:ilvl w:val="0"/>
          <w:numId w:val="9"/>
        </w:numPr>
        <w:spacing w:after="0"/>
        <w:ind w:left="851"/>
        <w:rPr>
          <w:sz w:val="20"/>
          <w:szCs w:val="20"/>
        </w:rPr>
      </w:pPr>
      <w:r w:rsidRPr="009935FA">
        <w:rPr>
          <w:sz w:val="20"/>
          <w:szCs w:val="20"/>
        </w:rPr>
        <w:t>Encuesta Nacional sobre Discriminación (ENADIS)</w:t>
      </w:r>
    </w:p>
    <w:p w14:paraId="27131C16" w14:textId="6F65DEA5" w:rsidR="00E60F03" w:rsidRDefault="00E60F03" w:rsidP="009546E7">
      <w:pPr>
        <w:pStyle w:val="Prrafodelista"/>
        <w:numPr>
          <w:ilvl w:val="1"/>
          <w:numId w:val="2"/>
        </w:numPr>
        <w:spacing w:after="0"/>
        <w:rPr>
          <w:b/>
          <w:bCs/>
          <w:sz w:val="20"/>
          <w:szCs w:val="20"/>
        </w:rPr>
      </w:pPr>
      <w:r>
        <w:rPr>
          <w:b/>
          <w:bCs/>
          <w:sz w:val="20"/>
          <w:szCs w:val="20"/>
        </w:rPr>
        <w:lastRenderedPageBreak/>
        <w:t>Fuentes de la metodología y/o estándares utilizados en el cálculo del indicador:</w:t>
      </w:r>
    </w:p>
    <w:p w14:paraId="551C97CC" w14:textId="365277F1" w:rsidR="00335E4E" w:rsidRDefault="009935FA" w:rsidP="009935FA">
      <w:pPr>
        <w:pStyle w:val="Prrafodelista"/>
        <w:numPr>
          <w:ilvl w:val="0"/>
          <w:numId w:val="10"/>
        </w:numPr>
        <w:spacing w:after="0"/>
        <w:ind w:left="851"/>
        <w:rPr>
          <w:sz w:val="20"/>
          <w:szCs w:val="20"/>
        </w:rPr>
      </w:pPr>
      <w:r w:rsidRPr="009935FA">
        <w:rPr>
          <w:sz w:val="20"/>
          <w:szCs w:val="20"/>
        </w:rPr>
        <w:t>Técnicas de Muestreo, 1991.</w:t>
      </w:r>
      <w:r>
        <w:rPr>
          <w:sz w:val="20"/>
          <w:szCs w:val="20"/>
        </w:rPr>
        <w:t xml:space="preserve"> </w:t>
      </w:r>
      <w:r w:rsidRPr="009935FA">
        <w:rPr>
          <w:sz w:val="20"/>
          <w:szCs w:val="20"/>
        </w:rPr>
        <w:t>Cochran William</w:t>
      </w:r>
      <w:r>
        <w:rPr>
          <w:sz w:val="20"/>
          <w:szCs w:val="20"/>
        </w:rPr>
        <w:t>.</w:t>
      </w:r>
    </w:p>
    <w:p w14:paraId="0F0DD2D4" w14:textId="1991A3C0" w:rsidR="009935FA" w:rsidRDefault="009935FA" w:rsidP="009935FA">
      <w:pPr>
        <w:pStyle w:val="Prrafodelista"/>
        <w:numPr>
          <w:ilvl w:val="0"/>
          <w:numId w:val="10"/>
        </w:numPr>
        <w:spacing w:after="0"/>
        <w:ind w:left="851"/>
        <w:rPr>
          <w:sz w:val="20"/>
          <w:szCs w:val="20"/>
        </w:rPr>
      </w:pPr>
      <w:r w:rsidRPr="009935FA">
        <w:rPr>
          <w:sz w:val="20"/>
          <w:szCs w:val="20"/>
        </w:rPr>
        <w:t>Muestreo de encuestas, 1972.</w:t>
      </w:r>
      <w:r>
        <w:rPr>
          <w:sz w:val="20"/>
          <w:szCs w:val="20"/>
        </w:rPr>
        <w:t xml:space="preserve"> </w:t>
      </w:r>
      <w:r w:rsidRPr="009935FA">
        <w:rPr>
          <w:sz w:val="20"/>
          <w:szCs w:val="20"/>
        </w:rPr>
        <w:t>Kish Leslie</w:t>
      </w:r>
      <w:r>
        <w:rPr>
          <w:sz w:val="20"/>
          <w:szCs w:val="20"/>
        </w:rPr>
        <w:t>.</w:t>
      </w:r>
    </w:p>
    <w:p w14:paraId="5A86C7CE" w14:textId="5434A16D" w:rsidR="009935FA" w:rsidRDefault="009935FA" w:rsidP="009935FA">
      <w:pPr>
        <w:pStyle w:val="Prrafodelista"/>
        <w:numPr>
          <w:ilvl w:val="0"/>
          <w:numId w:val="10"/>
        </w:numPr>
        <w:spacing w:after="0"/>
        <w:ind w:left="851"/>
        <w:rPr>
          <w:sz w:val="20"/>
          <w:szCs w:val="20"/>
        </w:rPr>
      </w:pPr>
      <w:r w:rsidRPr="009935FA">
        <w:rPr>
          <w:sz w:val="20"/>
          <w:szCs w:val="20"/>
        </w:rPr>
        <w:t>Model Assisted Survey Sampling, 2003.</w:t>
      </w:r>
      <w:r>
        <w:rPr>
          <w:sz w:val="20"/>
          <w:szCs w:val="20"/>
        </w:rPr>
        <w:t xml:space="preserve"> </w:t>
      </w:r>
      <w:r w:rsidRPr="009935FA">
        <w:rPr>
          <w:sz w:val="20"/>
          <w:szCs w:val="20"/>
        </w:rPr>
        <w:t>Carl‐Erik Särndal et al.</w:t>
      </w:r>
    </w:p>
    <w:p w14:paraId="3407AC9B" w14:textId="77777777" w:rsidR="009935FA" w:rsidRPr="00E60F03" w:rsidRDefault="009935FA" w:rsidP="00E60F03">
      <w:pPr>
        <w:pStyle w:val="Prrafodelista"/>
        <w:spacing w:after="0"/>
        <w:ind w:left="360"/>
        <w:rPr>
          <w:sz w:val="20"/>
          <w:szCs w:val="20"/>
        </w:rPr>
      </w:pPr>
    </w:p>
    <w:p w14:paraId="5E2D69CE" w14:textId="03BE690C" w:rsidR="00E60F03" w:rsidRDefault="000F3707"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1902263F" w:rsidR="00464252" w:rsidRPr="00464252" w:rsidRDefault="00A50F8D" w:rsidP="00A50F8D">
      <w:pPr>
        <w:pStyle w:val="Prrafodelista"/>
        <w:spacing w:after="0"/>
        <w:ind w:left="360"/>
        <w:rPr>
          <w:sz w:val="20"/>
          <w:szCs w:val="20"/>
        </w:rPr>
      </w:pPr>
      <w:r w:rsidRPr="00A50F8D">
        <w:rPr>
          <w:sz w:val="20"/>
          <w:szCs w:val="20"/>
        </w:rPr>
        <w:t>Araceli Martínez Gama</w:t>
      </w:r>
      <w:r w:rsidR="00464252" w:rsidRPr="00464252">
        <w:rPr>
          <w:sz w:val="20"/>
          <w:szCs w:val="20"/>
        </w:rPr>
        <w:t xml:space="preserve">, </w:t>
      </w:r>
      <w:r>
        <w:rPr>
          <w:sz w:val="20"/>
          <w:szCs w:val="20"/>
        </w:rPr>
        <w:t>directora de</w:t>
      </w:r>
      <w:r w:rsidRPr="00A50F8D">
        <w:rPr>
          <w:sz w:val="20"/>
          <w:szCs w:val="20"/>
        </w:rPr>
        <w:t xml:space="preserve"> Marcos y Muestreo, Dirección General de Estadísticas Económicas</w:t>
      </w:r>
      <w:r w:rsidR="00464252" w:rsidRPr="00464252">
        <w:rPr>
          <w:sz w:val="20"/>
          <w:szCs w:val="20"/>
        </w:rPr>
        <w:t>.</w:t>
      </w:r>
    </w:p>
    <w:p w14:paraId="70B001BA" w14:textId="796E3B09" w:rsidR="00464252" w:rsidRPr="00464252" w:rsidRDefault="00A50F8D" w:rsidP="00E60F03">
      <w:pPr>
        <w:pStyle w:val="Prrafodelista"/>
        <w:spacing w:after="0"/>
        <w:ind w:left="360"/>
        <w:rPr>
          <w:sz w:val="20"/>
          <w:szCs w:val="20"/>
        </w:rPr>
      </w:pPr>
      <w:r w:rsidRPr="00A50F8D">
        <w:rPr>
          <w:sz w:val="20"/>
          <w:szCs w:val="20"/>
        </w:rPr>
        <w:t>Gonzalo Pérez de la Cruz</w:t>
      </w:r>
      <w:r w:rsidR="00464252" w:rsidRPr="00464252">
        <w:rPr>
          <w:sz w:val="20"/>
          <w:szCs w:val="20"/>
        </w:rPr>
        <w:t>, director</w:t>
      </w:r>
      <w:r>
        <w:rPr>
          <w:sz w:val="20"/>
          <w:szCs w:val="20"/>
        </w:rPr>
        <w:t xml:space="preserve"> en la Coordinación de asesores</w:t>
      </w:r>
      <w:r w:rsidR="00464252" w:rsidRPr="00464252">
        <w:rPr>
          <w:sz w:val="20"/>
          <w:szCs w:val="20"/>
        </w:rPr>
        <w:t>.</w:t>
      </w:r>
    </w:p>
    <w:p w14:paraId="6C8EA146" w14:textId="6D45A145" w:rsidR="00464252" w:rsidRDefault="00A50F8D" w:rsidP="00A50F8D">
      <w:pPr>
        <w:pStyle w:val="Prrafodelista"/>
        <w:spacing w:after="0"/>
        <w:ind w:left="360"/>
        <w:rPr>
          <w:sz w:val="20"/>
          <w:szCs w:val="20"/>
        </w:rPr>
      </w:pPr>
      <w:r w:rsidRPr="00A50F8D">
        <w:rPr>
          <w:sz w:val="20"/>
          <w:szCs w:val="20"/>
        </w:rPr>
        <w:t>José de Jesús Jiménez Martínez</w:t>
      </w:r>
      <w:r w:rsidR="00464252" w:rsidRPr="00464252">
        <w:rPr>
          <w:sz w:val="20"/>
          <w:szCs w:val="20"/>
        </w:rPr>
        <w:t xml:space="preserve">, </w:t>
      </w:r>
      <w:r>
        <w:rPr>
          <w:sz w:val="20"/>
          <w:szCs w:val="20"/>
        </w:rPr>
        <w:t>s</w:t>
      </w:r>
      <w:r w:rsidRPr="00A50F8D">
        <w:rPr>
          <w:sz w:val="20"/>
          <w:szCs w:val="20"/>
        </w:rPr>
        <w:t>ubdirec</w:t>
      </w:r>
      <w:r>
        <w:rPr>
          <w:sz w:val="20"/>
          <w:szCs w:val="20"/>
        </w:rPr>
        <w:t>tor</w:t>
      </w:r>
      <w:r w:rsidRPr="00A50F8D">
        <w:rPr>
          <w:sz w:val="20"/>
          <w:szCs w:val="20"/>
        </w:rPr>
        <w:t xml:space="preserve"> de Diseño Estadístico</w:t>
      </w:r>
      <w:r>
        <w:rPr>
          <w:sz w:val="20"/>
          <w:szCs w:val="20"/>
        </w:rPr>
        <w:t>.</w:t>
      </w:r>
      <w:r w:rsidRPr="00A50F8D">
        <w:rPr>
          <w:sz w:val="20"/>
          <w:szCs w:val="20"/>
        </w:rPr>
        <w:t xml:space="preserve"> Dirección General de Estadísticas Económicas</w:t>
      </w:r>
      <w:r w:rsidR="00464252" w:rsidRPr="00464252">
        <w:rPr>
          <w:sz w:val="20"/>
          <w:szCs w:val="20"/>
        </w:rPr>
        <w:t>.</w:t>
      </w:r>
    </w:p>
    <w:p w14:paraId="3877D5AE" w14:textId="1E118C5B" w:rsidR="00A50F8D" w:rsidRDefault="00A50F8D" w:rsidP="00A50F8D">
      <w:pPr>
        <w:pStyle w:val="Prrafodelista"/>
        <w:spacing w:after="0"/>
        <w:ind w:left="360"/>
        <w:rPr>
          <w:sz w:val="20"/>
          <w:szCs w:val="20"/>
        </w:rPr>
      </w:pPr>
      <w:r w:rsidRPr="00A50F8D">
        <w:rPr>
          <w:sz w:val="20"/>
          <w:szCs w:val="20"/>
        </w:rPr>
        <w:t>Sofia Isabel Pérez Gutiérrez</w:t>
      </w:r>
      <w:r>
        <w:rPr>
          <w:sz w:val="20"/>
          <w:szCs w:val="20"/>
        </w:rPr>
        <w:t>, jefa del d</w:t>
      </w:r>
      <w:r w:rsidRPr="00A50F8D">
        <w:rPr>
          <w:sz w:val="20"/>
          <w:szCs w:val="20"/>
        </w:rPr>
        <w:t>epartamento de Diseño Muestral de</w:t>
      </w:r>
      <w:r>
        <w:rPr>
          <w:sz w:val="20"/>
          <w:szCs w:val="20"/>
        </w:rPr>
        <w:t xml:space="preserve"> </w:t>
      </w:r>
      <w:r w:rsidRPr="00A50F8D">
        <w:rPr>
          <w:sz w:val="20"/>
          <w:szCs w:val="20"/>
        </w:rPr>
        <w:t>Encuestas Continuas</w:t>
      </w:r>
      <w:r>
        <w:rPr>
          <w:sz w:val="20"/>
          <w:szCs w:val="20"/>
        </w:rPr>
        <w:t>.</w:t>
      </w:r>
      <w:r w:rsidRPr="00A50F8D">
        <w:rPr>
          <w:sz w:val="20"/>
          <w:szCs w:val="20"/>
        </w:rPr>
        <w:t xml:space="preserve"> </w:t>
      </w:r>
      <w:r>
        <w:rPr>
          <w:sz w:val="20"/>
          <w:szCs w:val="20"/>
        </w:rPr>
        <w:t>D</w:t>
      </w:r>
      <w:r w:rsidRPr="00A50F8D">
        <w:rPr>
          <w:sz w:val="20"/>
          <w:szCs w:val="20"/>
        </w:rPr>
        <w:t>irección General de Estadísticas Económicas</w:t>
      </w:r>
      <w:r>
        <w:rPr>
          <w:sz w:val="20"/>
          <w:szCs w:val="20"/>
        </w:rPr>
        <w:t>.</w:t>
      </w:r>
    </w:p>
    <w:p w14:paraId="64737715" w14:textId="590C5D8E" w:rsidR="00A50F8D" w:rsidRDefault="00A50F8D" w:rsidP="00A50F8D">
      <w:pPr>
        <w:pStyle w:val="Prrafodelista"/>
        <w:spacing w:after="0"/>
        <w:ind w:left="360"/>
        <w:rPr>
          <w:sz w:val="20"/>
          <w:szCs w:val="20"/>
        </w:rPr>
      </w:pPr>
      <w:r w:rsidRPr="00A50F8D">
        <w:rPr>
          <w:sz w:val="20"/>
          <w:szCs w:val="20"/>
        </w:rPr>
        <w:t>Mario Alberto Santillana Zapata</w:t>
      </w:r>
      <w:r>
        <w:rPr>
          <w:sz w:val="20"/>
          <w:szCs w:val="20"/>
        </w:rPr>
        <w:t>, d</w:t>
      </w:r>
      <w:r w:rsidRPr="00A50F8D">
        <w:rPr>
          <w:sz w:val="20"/>
          <w:szCs w:val="20"/>
        </w:rPr>
        <w:t>irec</w:t>
      </w:r>
      <w:r>
        <w:rPr>
          <w:sz w:val="20"/>
          <w:szCs w:val="20"/>
        </w:rPr>
        <w:t>tor</w:t>
      </w:r>
      <w:r w:rsidRPr="00A50F8D">
        <w:rPr>
          <w:sz w:val="20"/>
          <w:szCs w:val="20"/>
        </w:rPr>
        <w:t xml:space="preserve"> </w:t>
      </w:r>
      <w:r w:rsidR="00EF43FC">
        <w:rPr>
          <w:sz w:val="20"/>
          <w:szCs w:val="20"/>
        </w:rPr>
        <w:t xml:space="preserve">general adjunto </w:t>
      </w:r>
      <w:r w:rsidRPr="00A50F8D">
        <w:rPr>
          <w:sz w:val="20"/>
          <w:szCs w:val="20"/>
        </w:rPr>
        <w:t>de Modelos de Información Gubernamental</w:t>
      </w:r>
      <w:r>
        <w:rPr>
          <w:sz w:val="20"/>
          <w:szCs w:val="20"/>
        </w:rPr>
        <w:t>.</w:t>
      </w:r>
      <w:r w:rsidRPr="00A50F8D">
        <w:rPr>
          <w:sz w:val="20"/>
          <w:szCs w:val="20"/>
        </w:rPr>
        <w:t xml:space="preserve"> Dirección General de Estadísticas de Gobierno, Seguridad Pública y Justicia</w:t>
      </w:r>
      <w:r>
        <w:rPr>
          <w:sz w:val="20"/>
          <w:szCs w:val="20"/>
        </w:rPr>
        <w:t>.</w:t>
      </w:r>
    </w:p>
    <w:p w14:paraId="3633671F" w14:textId="50A0BE67" w:rsidR="00A50F8D" w:rsidRDefault="00A50F8D" w:rsidP="00DF5B40">
      <w:pPr>
        <w:pStyle w:val="Prrafodelista"/>
        <w:spacing w:after="0"/>
        <w:ind w:left="360"/>
        <w:rPr>
          <w:sz w:val="20"/>
          <w:szCs w:val="20"/>
        </w:rPr>
      </w:pPr>
      <w:r w:rsidRPr="00A50F8D">
        <w:rPr>
          <w:sz w:val="20"/>
          <w:szCs w:val="20"/>
        </w:rPr>
        <w:t>Gerardo Barragán Romero</w:t>
      </w:r>
      <w:r>
        <w:rPr>
          <w:sz w:val="20"/>
          <w:szCs w:val="20"/>
        </w:rPr>
        <w:t xml:space="preserve">, </w:t>
      </w:r>
      <w:r w:rsidR="00DF5B40">
        <w:rPr>
          <w:sz w:val="20"/>
          <w:szCs w:val="20"/>
        </w:rPr>
        <w:t>s</w:t>
      </w:r>
      <w:r w:rsidR="00DF5B40" w:rsidRPr="00DF5B40">
        <w:rPr>
          <w:sz w:val="20"/>
          <w:szCs w:val="20"/>
        </w:rPr>
        <w:t>ubdirec</w:t>
      </w:r>
      <w:r w:rsidR="00DF5B40">
        <w:rPr>
          <w:sz w:val="20"/>
          <w:szCs w:val="20"/>
        </w:rPr>
        <w:t>tor</w:t>
      </w:r>
      <w:r w:rsidR="00DF5B40" w:rsidRPr="00DF5B40">
        <w:rPr>
          <w:sz w:val="20"/>
          <w:szCs w:val="20"/>
        </w:rPr>
        <w:t xml:space="preserve"> de Diseño Estadístico e Implementación de Encuestas Nacionales de Gobierno</w:t>
      </w:r>
      <w:r w:rsidR="00DF5B40">
        <w:rPr>
          <w:sz w:val="20"/>
          <w:szCs w:val="20"/>
        </w:rPr>
        <w:t>.</w:t>
      </w:r>
      <w:r w:rsidR="00DF5B40" w:rsidRPr="00DF5B40">
        <w:rPr>
          <w:sz w:val="20"/>
          <w:szCs w:val="20"/>
        </w:rPr>
        <w:t xml:space="preserve"> Dirección General de Estadísticas de Gobierno, Seguridad Pública y Justicia</w:t>
      </w:r>
      <w:r w:rsidR="00DF5B40">
        <w:rPr>
          <w:sz w:val="20"/>
          <w:szCs w:val="20"/>
        </w:rPr>
        <w:t>.</w:t>
      </w:r>
    </w:p>
    <w:p w14:paraId="6685A7ED" w14:textId="11696AF7" w:rsidR="00DF5B40" w:rsidRDefault="00DF5B40" w:rsidP="00DF5B40">
      <w:pPr>
        <w:pStyle w:val="Prrafodelista"/>
        <w:spacing w:after="0"/>
        <w:ind w:left="360"/>
        <w:rPr>
          <w:sz w:val="20"/>
          <w:szCs w:val="20"/>
        </w:rPr>
      </w:pPr>
      <w:r w:rsidRPr="00DF5B40">
        <w:rPr>
          <w:sz w:val="20"/>
          <w:szCs w:val="20"/>
        </w:rPr>
        <w:t>Octavio Heredia Hernández</w:t>
      </w:r>
      <w:r>
        <w:rPr>
          <w:sz w:val="20"/>
          <w:szCs w:val="20"/>
        </w:rPr>
        <w:t>, d</w:t>
      </w:r>
      <w:r w:rsidRPr="00DF5B40">
        <w:rPr>
          <w:sz w:val="20"/>
          <w:szCs w:val="20"/>
        </w:rPr>
        <w:t>irec</w:t>
      </w:r>
      <w:r>
        <w:rPr>
          <w:sz w:val="20"/>
          <w:szCs w:val="20"/>
        </w:rPr>
        <w:t>tor</w:t>
      </w:r>
      <w:r w:rsidRPr="00DF5B40">
        <w:rPr>
          <w:sz w:val="20"/>
          <w:szCs w:val="20"/>
        </w:rPr>
        <w:t xml:space="preserve"> </w:t>
      </w:r>
      <w:r w:rsidR="004B32E5">
        <w:rPr>
          <w:sz w:val="20"/>
          <w:szCs w:val="20"/>
        </w:rPr>
        <w:t xml:space="preserve">general adjunto </w:t>
      </w:r>
      <w:r w:rsidRPr="00DF5B40">
        <w:rPr>
          <w:sz w:val="20"/>
          <w:szCs w:val="20"/>
        </w:rPr>
        <w:t>de Diseño y Marcos Estadísticos</w:t>
      </w:r>
      <w:r>
        <w:rPr>
          <w:sz w:val="20"/>
          <w:szCs w:val="20"/>
        </w:rPr>
        <w:t>.</w:t>
      </w:r>
      <w:r w:rsidRPr="00DF5B40">
        <w:rPr>
          <w:sz w:val="20"/>
          <w:szCs w:val="20"/>
        </w:rPr>
        <w:t xml:space="preserve"> Dirección General de Estadísticas Sociodemográficas</w:t>
      </w:r>
      <w:r>
        <w:rPr>
          <w:sz w:val="20"/>
          <w:szCs w:val="20"/>
        </w:rPr>
        <w:t>.</w:t>
      </w:r>
    </w:p>
    <w:p w14:paraId="37B7E9F4" w14:textId="5F26E4D5" w:rsidR="00DF5B40" w:rsidRPr="00DF5B40" w:rsidRDefault="00DF5B40" w:rsidP="00DF5B40">
      <w:pPr>
        <w:pStyle w:val="Prrafodelista"/>
        <w:spacing w:after="0"/>
        <w:ind w:left="360"/>
        <w:rPr>
          <w:sz w:val="20"/>
          <w:szCs w:val="20"/>
        </w:rPr>
      </w:pPr>
      <w:r w:rsidRPr="00DF5B40">
        <w:rPr>
          <w:sz w:val="20"/>
          <w:szCs w:val="20"/>
        </w:rPr>
        <w:t>Jaime Mojíca Cuevas</w:t>
      </w:r>
      <w:r>
        <w:rPr>
          <w:sz w:val="20"/>
          <w:szCs w:val="20"/>
        </w:rPr>
        <w:t>, s</w:t>
      </w:r>
      <w:r w:rsidRPr="00DF5B40">
        <w:rPr>
          <w:sz w:val="20"/>
          <w:szCs w:val="20"/>
        </w:rPr>
        <w:t>ubdirec</w:t>
      </w:r>
      <w:r>
        <w:rPr>
          <w:sz w:val="20"/>
          <w:szCs w:val="20"/>
        </w:rPr>
        <w:t>tor</w:t>
      </w:r>
      <w:r w:rsidRPr="00DF5B40">
        <w:rPr>
          <w:sz w:val="20"/>
          <w:szCs w:val="20"/>
        </w:rPr>
        <w:t xml:space="preserve"> de Diseño Muestral de Vivienda</w:t>
      </w:r>
      <w:r>
        <w:rPr>
          <w:sz w:val="20"/>
          <w:szCs w:val="20"/>
        </w:rPr>
        <w:t xml:space="preserve">. </w:t>
      </w:r>
      <w:r w:rsidRPr="00DF5B40">
        <w:rPr>
          <w:sz w:val="20"/>
          <w:szCs w:val="20"/>
        </w:rPr>
        <w:t xml:space="preserve">Dirección General de Estadísticas </w:t>
      </w:r>
    </w:p>
    <w:p w14:paraId="0D88A345" w14:textId="7225B47D" w:rsidR="00DF5B40" w:rsidRDefault="00DF5B40" w:rsidP="00DF5B40">
      <w:pPr>
        <w:pStyle w:val="Prrafodelista"/>
        <w:spacing w:after="0"/>
        <w:ind w:left="360"/>
        <w:rPr>
          <w:sz w:val="20"/>
          <w:szCs w:val="20"/>
        </w:rPr>
      </w:pPr>
      <w:r w:rsidRPr="00DF5B40">
        <w:rPr>
          <w:sz w:val="20"/>
          <w:szCs w:val="20"/>
        </w:rPr>
        <w:t>Sociodemográficas</w:t>
      </w:r>
      <w:r>
        <w:rPr>
          <w:sz w:val="20"/>
          <w:szCs w:val="20"/>
        </w:rPr>
        <w:t>.</w:t>
      </w:r>
    </w:p>
    <w:p w14:paraId="6C5EC231" w14:textId="3F5EFD5D" w:rsidR="00DF5B40" w:rsidRDefault="00DF5B40" w:rsidP="00DF5B40">
      <w:pPr>
        <w:pStyle w:val="Prrafodelista"/>
        <w:spacing w:after="0"/>
        <w:ind w:left="360"/>
        <w:rPr>
          <w:sz w:val="20"/>
          <w:szCs w:val="20"/>
        </w:rPr>
      </w:pPr>
      <w:r w:rsidRPr="00DF5B40">
        <w:rPr>
          <w:sz w:val="20"/>
          <w:szCs w:val="20"/>
        </w:rPr>
        <w:t>Noriki Armando Ibarra Medina</w:t>
      </w:r>
      <w:r>
        <w:rPr>
          <w:sz w:val="20"/>
          <w:szCs w:val="20"/>
        </w:rPr>
        <w:t>, jefe del departamento</w:t>
      </w:r>
      <w:r w:rsidRPr="00DF5B40">
        <w:rPr>
          <w:sz w:val="20"/>
          <w:szCs w:val="20"/>
        </w:rPr>
        <w:t xml:space="preserve"> de Selección y Control de Muestras Regulares, Dirección General de Estadísticas Sociodemográficas</w:t>
      </w:r>
      <w:r>
        <w:rPr>
          <w:sz w:val="20"/>
          <w:szCs w:val="20"/>
        </w:rPr>
        <w:t>.</w:t>
      </w:r>
    </w:p>
    <w:p w14:paraId="145E06ED" w14:textId="13428075" w:rsidR="00DF5B40" w:rsidRDefault="00DF5B40" w:rsidP="00DF5B40">
      <w:pPr>
        <w:pStyle w:val="Prrafodelista"/>
        <w:spacing w:after="0"/>
        <w:ind w:left="360"/>
        <w:rPr>
          <w:sz w:val="20"/>
          <w:szCs w:val="20"/>
        </w:rPr>
      </w:pPr>
      <w:r w:rsidRPr="00DF5B40">
        <w:rPr>
          <w:sz w:val="20"/>
          <w:szCs w:val="20"/>
        </w:rPr>
        <w:t>Fabián García Montaño</w:t>
      </w:r>
      <w:r>
        <w:rPr>
          <w:sz w:val="20"/>
          <w:szCs w:val="20"/>
        </w:rPr>
        <w:t>, s</w:t>
      </w:r>
      <w:r w:rsidRPr="00DF5B40">
        <w:rPr>
          <w:sz w:val="20"/>
          <w:szCs w:val="20"/>
        </w:rPr>
        <w:t>ubdirec</w:t>
      </w:r>
      <w:r>
        <w:rPr>
          <w:sz w:val="20"/>
          <w:szCs w:val="20"/>
        </w:rPr>
        <w:t>tor</w:t>
      </w:r>
      <w:r w:rsidRPr="00DF5B40">
        <w:rPr>
          <w:sz w:val="20"/>
          <w:szCs w:val="20"/>
        </w:rPr>
        <w:t xml:space="preserve"> de Planeación, Análisis y Seguimiento</w:t>
      </w:r>
      <w:r>
        <w:rPr>
          <w:sz w:val="20"/>
          <w:szCs w:val="20"/>
        </w:rPr>
        <w:t>.</w:t>
      </w:r>
      <w:r w:rsidRPr="00DF5B40">
        <w:rPr>
          <w:sz w:val="20"/>
          <w:szCs w:val="20"/>
        </w:rPr>
        <w:t xml:space="preserve"> Dirección General de Geografía y Medio Ambiente</w:t>
      </w:r>
      <w:r>
        <w:rPr>
          <w:sz w:val="20"/>
          <w:szCs w:val="20"/>
        </w:rPr>
        <w:t>.</w:t>
      </w:r>
    </w:p>
    <w:p w14:paraId="2AE84F5F" w14:textId="6547D501" w:rsidR="00DF5B40" w:rsidRDefault="00DF5B40" w:rsidP="00DF5B40">
      <w:pPr>
        <w:pStyle w:val="Prrafodelista"/>
        <w:spacing w:after="0"/>
        <w:ind w:left="360"/>
        <w:rPr>
          <w:sz w:val="20"/>
          <w:szCs w:val="20"/>
        </w:rPr>
      </w:pPr>
      <w:r w:rsidRPr="00DF5B40">
        <w:rPr>
          <w:sz w:val="20"/>
          <w:szCs w:val="20"/>
        </w:rPr>
        <w:t>Hortencia Medina Uribe</w:t>
      </w:r>
      <w:r>
        <w:rPr>
          <w:sz w:val="20"/>
          <w:szCs w:val="20"/>
        </w:rPr>
        <w:t>, s</w:t>
      </w:r>
      <w:r w:rsidRPr="00DF5B40">
        <w:rPr>
          <w:sz w:val="20"/>
          <w:szCs w:val="20"/>
        </w:rPr>
        <w:t>ubdirec</w:t>
      </w:r>
      <w:r>
        <w:rPr>
          <w:sz w:val="20"/>
          <w:szCs w:val="20"/>
        </w:rPr>
        <w:t>tora</w:t>
      </w:r>
      <w:r w:rsidRPr="00DF5B40">
        <w:rPr>
          <w:sz w:val="20"/>
          <w:szCs w:val="20"/>
        </w:rPr>
        <w:t xml:space="preserve"> de Estadísticas Ambientales en Actividades Económicas y Hogares</w:t>
      </w:r>
      <w:r>
        <w:rPr>
          <w:sz w:val="20"/>
          <w:szCs w:val="20"/>
        </w:rPr>
        <w:t>.</w:t>
      </w:r>
      <w:r w:rsidRPr="00DF5B40">
        <w:rPr>
          <w:sz w:val="20"/>
          <w:szCs w:val="20"/>
        </w:rPr>
        <w:t xml:space="preserve"> Dirección General de Geografía y Medio Ambiente</w:t>
      </w:r>
      <w:r>
        <w:rPr>
          <w:sz w:val="20"/>
          <w:szCs w:val="20"/>
        </w:rPr>
        <w:t>.</w:t>
      </w:r>
    </w:p>
    <w:p w14:paraId="7AD99932" w14:textId="005BF1EE" w:rsidR="00DF5B40" w:rsidRPr="00DF5B40" w:rsidRDefault="00DF5B40" w:rsidP="00DF5B40">
      <w:pPr>
        <w:pStyle w:val="Prrafodelista"/>
        <w:spacing w:after="0"/>
        <w:ind w:left="360"/>
        <w:rPr>
          <w:sz w:val="20"/>
          <w:szCs w:val="20"/>
        </w:rPr>
      </w:pPr>
      <w:r w:rsidRPr="00DF5B40">
        <w:rPr>
          <w:sz w:val="20"/>
          <w:szCs w:val="20"/>
        </w:rPr>
        <w:t>Hugo Reginaldo Correa Bayardo</w:t>
      </w:r>
      <w:r>
        <w:rPr>
          <w:sz w:val="20"/>
          <w:szCs w:val="20"/>
        </w:rPr>
        <w:t>, jefe del d</w:t>
      </w:r>
      <w:r w:rsidRPr="00DF5B40">
        <w:rPr>
          <w:sz w:val="20"/>
          <w:szCs w:val="20"/>
        </w:rPr>
        <w:t>epartamento de Análisis y Gestión del</w:t>
      </w:r>
    </w:p>
    <w:p w14:paraId="56636ED4" w14:textId="44D96A0C" w:rsidR="00DF5B40" w:rsidRPr="00464252" w:rsidRDefault="00DF5B40" w:rsidP="00DF5B40">
      <w:pPr>
        <w:pStyle w:val="Prrafodelista"/>
        <w:spacing w:after="0"/>
        <w:ind w:left="360"/>
        <w:rPr>
          <w:sz w:val="20"/>
          <w:szCs w:val="20"/>
        </w:rPr>
      </w:pPr>
      <w:r w:rsidRPr="00DF5B40">
        <w:rPr>
          <w:sz w:val="20"/>
          <w:szCs w:val="20"/>
        </w:rPr>
        <w:t>Subsistema</w:t>
      </w:r>
      <w:r>
        <w:rPr>
          <w:sz w:val="20"/>
          <w:szCs w:val="20"/>
        </w:rPr>
        <w:t>.</w:t>
      </w:r>
      <w:r w:rsidRPr="00DF5B40">
        <w:rPr>
          <w:sz w:val="20"/>
          <w:szCs w:val="20"/>
        </w:rPr>
        <w:t xml:space="preserve"> Vicepresidencia de Información Demográfica y Social</w:t>
      </w:r>
      <w:r>
        <w:rPr>
          <w:sz w:val="20"/>
          <w:szCs w:val="20"/>
        </w:rPr>
        <w:t>.</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5080EE18" w:rsidR="00100E12" w:rsidRDefault="00DF5B40" w:rsidP="00100E12">
      <w:pPr>
        <w:pStyle w:val="Prrafodelista"/>
        <w:spacing w:after="0"/>
        <w:ind w:left="360"/>
        <w:rPr>
          <w:sz w:val="20"/>
          <w:szCs w:val="20"/>
        </w:rPr>
      </w:pPr>
      <w:r w:rsidRPr="00DF5B40">
        <w:rPr>
          <w:sz w:val="20"/>
          <w:szCs w:val="20"/>
        </w:rPr>
        <w:t>Difusión externa: Página Web del INEGI, según pro</w:t>
      </w:r>
      <w:r>
        <w:rPr>
          <w:sz w:val="20"/>
          <w:szCs w:val="20"/>
        </w:rPr>
        <w:t>ceso y a</w:t>
      </w:r>
      <w:r w:rsidRPr="00DF5B40">
        <w:rPr>
          <w:sz w:val="20"/>
          <w:szCs w:val="20"/>
        </w:rPr>
        <w:t xml:space="preserve">partado de </w:t>
      </w:r>
      <w:r>
        <w:rPr>
          <w:sz w:val="20"/>
          <w:szCs w:val="20"/>
        </w:rPr>
        <w:t>e</w:t>
      </w:r>
      <w:r w:rsidRPr="00DF5B40">
        <w:rPr>
          <w:sz w:val="20"/>
          <w:szCs w:val="20"/>
        </w:rPr>
        <w:t>valuación estadística de la calidad de los datos en la Red Nacional de Metadatos para cada pro</w:t>
      </w:r>
      <w:r>
        <w:rPr>
          <w:sz w:val="20"/>
          <w:szCs w:val="20"/>
        </w:rPr>
        <w:t>ceso de producción.</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23881F08" w:rsidR="00100E12" w:rsidRDefault="00DF5B40" w:rsidP="00100E12">
      <w:pPr>
        <w:pStyle w:val="Prrafodelista"/>
        <w:spacing w:after="0"/>
        <w:ind w:left="360"/>
        <w:rPr>
          <w:sz w:val="20"/>
          <w:szCs w:val="20"/>
        </w:rPr>
      </w:pPr>
      <w:r>
        <w:rPr>
          <w:sz w:val="20"/>
          <w:szCs w:val="20"/>
        </w:rPr>
        <w:t>20</w:t>
      </w:r>
      <w:r w:rsidR="00100E12" w:rsidRPr="00100E12">
        <w:rPr>
          <w:sz w:val="20"/>
          <w:szCs w:val="20"/>
        </w:rPr>
        <w:t>/1</w:t>
      </w:r>
      <w:r>
        <w:rPr>
          <w:sz w:val="20"/>
          <w:szCs w:val="20"/>
        </w:rPr>
        <w:t>0</w:t>
      </w:r>
      <w:r w:rsidR="00100E12" w:rsidRPr="00100E12">
        <w:rPr>
          <w:sz w:val="20"/>
          <w:szCs w:val="20"/>
        </w:rPr>
        <w:t>/201</w:t>
      </w:r>
      <w:r>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AF1948C" w14:textId="77777777" w:rsidR="002A515E" w:rsidRDefault="002A515E" w:rsidP="00100E12">
      <w:pPr>
        <w:pStyle w:val="Prrafodelista"/>
        <w:spacing w:after="0"/>
        <w:ind w:left="360"/>
        <w:rPr>
          <w:sz w:val="20"/>
          <w:szCs w:val="20"/>
        </w:rPr>
      </w:pPr>
    </w:p>
    <w:p w14:paraId="0865E695" w14:textId="77777777" w:rsidR="00367E0A" w:rsidRDefault="00367E0A" w:rsidP="00100E12">
      <w:pPr>
        <w:pStyle w:val="Prrafodelista"/>
        <w:spacing w:after="0"/>
        <w:ind w:left="360"/>
        <w:rPr>
          <w:sz w:val="20"/>
          <w:szCs w:val="20"/>
        </w:rPr>
      </w:pPr>
    </w:p>
    <w:p w14:paraId="15A8F924" w14:textId="77777777" w:rsidR="00367E0A" w:rsidRDefault="00367E0A"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350C569C" w:rsidR="0097395E" w:rsidRDefault="00D42E7D"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Encuestas probabilísticas y por muestreo mixto</w:t>
      </w:r>
      <w:r w:rsidR="0097395E" w:rsidRPr="00464252">
        <w:rPr>
          <w:rFonts w:ascii="Calibri" w:eastAsia="Times New Roman" w:hAnsi="Calibri" w:cs="Calibri"/>
          <w:color w:val="000000"/>
          <w:kern w:val="0"/>
          <w:sz w:val="20"/>
          <w:szCs w:val="20"/>
          <w:lang w:eastAsia="es-MX"/>
          <w14:ligatures w14:val="none"/>
        </w:rPr>
        <w:t>.</w:t>
      </w:r>
    </w:p>
    <w:p w14:paraId="7A7FCFFD" w14:textId="77777777" w:rsidR="00CD5C52" w:rsidRDefault="00CD5C52"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65A897FF" w14:textId="4A7EF1CB"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2862372C" w:rsidR="0097395E" w:rsidRPr="0097395E" w:rsidRDefault="00D42E7D"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D42E7D">
        <w:rPr>
          <w:rFonts w:ascii="Calibri" w:eastAsia="Times New Roman" w:hAnsi="Calibri" w:cs="Calibri"/>
          <w:color w:val="000000"/>
          <w:kern w:val="0"/>
          <w:sz w:val="20"/>
          <w:szCs w:val="20"/>
          <w:lang w:eastAsia="es-MX"/>
          <w14:ligatures w14:val="none"/>
        </w:rPr>
        <w:t>Es una medida de la calidad de las estimaciones en pro</w:t>
      </w:r>
      <w:r w:rsidR="00841F24">
        <w:rPr>
          <w:rFonts w:ascii="Calibri" w:eastAsia="Times New Roman" w:hAnsi="Calibri" w:cs="Calibri"/>
          <w:color w:val="000000"/>
          <w:kern w:val="0"/>
          <w:sz w:val="20"/>
          <w:szCs w:val="20"/>
          <w:lang w:eastAsia="es-MX"/>
          <w14:ligatures w14:val="none"/>
        </w:rPr>
        <w:t>cesos de producción</w:t>
      </w:r>
      <w:r w:rsidRPr="00D42E7D">
        <w:rPr>
          <w:rFonts w:ascii="Calibri" w:eastAsia="Times New Roman" w:hAnsi="Calibri" w:cs="Calibri"/>
          <w:color w:val="000000"/>
          <w:kern w:val="0"/>
          <w:sz w:val="20"/>
          <w:szCs w:val="20"/>
          <w:lang w:eastAsia="es-MX"/>
          <w14:ligatures w14:val="none"/>
        </w:rPr>
        <w:t xml:space="preserve"> con muestreo probabilístico que indica el porcentaje que representa el error estándar respecto a la estimación del parámetro</w:t>
      </w:r>
      <w:r w:rsidR="0097395E" w:rsidRPr="0097395E">
        <w:rPr>
          <w:rFonts w:ascii="Calibri" w:eastAsia="Times New Roman" w:hAnsi="Calibri" w:cs="Calibri"/>
          <w:color w:val="000000"/>
          <w:kern w:val="0"/>
          <w:sz w:val="20"/>
          <w:szCs w:val="20"/>
          <w:lang w:eastAsia="es-MX"/>
          <w14:ligatures w14:val="none"/>
        </w:rPr>
        <w:t>.</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5E6CED8E" w:rsidR="0097395E" w:rsidRPr="0097395E" w:rsidRDefault="00D42E7D"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42E7D">
        <w:rPr>
          <w:rFonts w:ascii="Calibri" w:eastAsia="Times New Roman" w:hAnsi="Calibri" w:cs="Calibri"/>
          <w:color w:val="000000"/>
          <w:kern w:val="0"/>
          <w:sz w:val="20"/>
          <w:szCs w:val="20"/>
          <w:lang w:eastAsia="es-MX"/>
          <w14:ligatures w14:val="none"/>
        </w:rPr>
        <w:t>Se calculará el indicador según la frecuencia de levantamiento de información de cada muestra.</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16A34EC2" w:rsidR="0097395E" w:rsidRPr="0097395E" w:rsidRDefault="00D42E7D"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42E7D">
        <w:rPr>
          <w:rFonts w:ascii="Calibri" w:eastAsia="Times New Roman" w:hAnsi="Calibri" w:cs="Calibri"/>
          <w:color w:val="000000"/>
          <w:kern w:val="0"/>
          <w:sz w:val="20"/>
          <w:szCs w:val="20"/>
          <w:lang w:eastAsia="es-MX"/>
          <w14:ligatures w14:val="none"/>
        </w:rPr>
        <w:t>El indicador se reportará a más tardar 30 días naturales a partir de la publicación de la información preliminar o definitiva de la muestra.</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0418F577" w:rsidR="0097395E" w:rsidRPr="0097395E" w:rsidRDefault="00DE286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Periodo de levantamiento de la información de la muestra</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5C0206A2" w14:textId="77777777" w:rsidR="00DE2869" w:rsidRDefault="00DE2869" w:rsidP="00DE286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 xml:space="preserve">El coeficiente de variación de una estimación es una medida relativa de su precisión; conforme sus valores son más próximos a cero, la estimación es más precisa, y viceversa. </w:t>
      </w:r>
    </w:p>
    <w:p w14:paraId="183962AB" w14:textId="77777777" w:rsidR="00705EC1" w:rsidRPr="00DE2869" w:rsidRDefault="00705EC1" w:rsidP="00DE286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8B9BD8C" w14:textId="27632D20" w:rsidR="0097395E" w:rsidRPr="00DE2869" w:rsidRDefault="00DE2869" w:rsidP="00DE286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 xml:space="preserve">La estimación de la varianza estimada del estimador, </w:t>
      </w:r>
      <m:oMath>
        <m:acc>
          <m:accPr>
            <m:ctrlPr>
              <w:rPr>
                <w:rFonts w:ascii="Cambria Math" w:eastAsia="Times New Roman" w:hAnsi="Cambria Math" w:cs="Calibri"/>
                <w:i/>
                <w:iCs/>
                <w:color w:val="000000"/>
                <w:kern w:val="0"/>
                <w:sz w:val="20"/>
                <w:szCs w:val="20"/>
                <w:lang w:eastAsia="es-MX"/>
                <w14:ligatures w14:val="none"/>
              </w:rPr>
            </m:ctrlPr>
          </m:accPr>
          <m:e>
            <m:r>
              <w:rPr>
                <w:rFonts w:ascii="Cambria Math" w:eastAsia="Times New Roman" w:hAnsi="Cambria Math" w:cs="Calibri"/>
                <w:color w:val="000000"/>
                <w:kern w:val="0"/>
                <w:sz w:val="20"/>
                <w:szCs w:val="20"/>
                <w:lang w:eastAsia="es-MX"/>
                <w14:ligatures w14:val="none"/>
              </w:rPr>
              <m:t>V</m:t>
            </m:r>
          </m:e>
        </m:acc>
        <m:d>
          <m:dPr>
            <m:ctrlPr>
              <w:rPr>
                <w:rFonts w:ascii="Cambria Math" w:eastAsia="Times New Roman" w:hAnsi="Cambria Math" w:cs="Calibri"/>
                <w:i/>
                <w:iCs/>
                <w:color w:val="000000"/>
                <w:kern w:val="0"/>
                <w:sz w:val="20"/>
                <w:szCs w:val="20"/>
                <w:lang w:eastAsia="es-MX"/>
                <w14:ligatures w14:val="none"/>
              </w:rPr>
            </m:ctrlPr>
          </m:dPr>
          <m:e>
            <m:acc>
              <m:accPr>
                <m:ctrlPr>
                  <w:rPr>
                    <w:rFonts w:ascii="Cambria Math" w:eastAsia="Times New Roman" w:hAnsi="Cambria Math" w:cs="Calibri"/>
                    <w:i/>
                    <w:iCs/>
                    <w:color w:val="000000"/>
                    <w:kern w:val="0"/>
                    <w:sz w:val="20"/>
                    <w:szCs w:val="20"/>
                    <w:lang w:eastAsia="es-MX"/>
                    <w14:ligatures w14:val="none"/>
                  </w:rPr>
                </m:ctrlPr>
              </m:accPr>
              <m:e>
                <m:r>
                  <w:rPr>
                    <w:rFonts w:ascii="Cambria Math" w:eastAsia="Times New Roman" w:hAnsi="Cambria Math" w:cs="Calibri"/>
                    <w:color w:val="000000"/>
                    <w:kern w:val="0"/>
                    <w:sz w:val="20"/>
                    <w:szCs w:val="20"/>
                    <w:lang w:eastAsia="es-MX"/>
                    <w14:ligatures w14:val="none"/>
                  </w:rPr>
                  <m:t>θ</m:t>
                </m:r>
              </m:e>
            </m:acc>
          </m:e>
        </m:d>
      </m:oMath>
      <w:r w:rsidRPr="00DE2869">
        <w:rPr>
          <w:rFonts w:ascii="Calibri" w:eastAsia="Times New Roman" w:hAnsi="Calibri" w:cs="Calibri"/>
          <w:color w:val="000000"/>
          <w:kern w:val="0"/>
          <w:sz w:val="20"/>
          <w:szCs w:val="20"/>
          <w:lang w:eastAsia="es-MX"/>
          <w14:ligatures w14:val="none"/>
        </w:rPr>
        <w:t>, se puede realizar por varios métodos, incluyendo aquellos de remuestreo</w:t>
      </w:r>
      <w:r w:rsidR="00063F79" w:rsidRPr="00DE2869">
        <w:rPr>
          <w:rFonts w:ascii="Calibri" w:eastAsia="Times New Roman" w:hAnsi="Calibri" w:cs="Calibri"/>
          <w:color w:val="000000"/>
          <w:kern w:val="0"/>
          <w:sz w:val="20"/>
          <w:szCs w:val="20"/>
          <w:lang w:eastAsia="es-MX"/>
          <w14:ligatures w14:val="none"/>
        </w:rPr>
        <w:t>.</w:t>
      </w:r>
    </w:p>
    <w:p w14:paraId="661398A3" w14:textId="77777777" w:rsidR="00F37A79" w:rsidRPr="008C470B"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164CED0E" w14:textId="76074FE6" w:rsidR="00DE2869" w:rsidRPr="00DE2869" w:rsidRDefault="00294AE7" w:rsidP="00DE2869">
      <w:pPr>
        <w:pStyle w:val="Prrafodelista"/>
        <w:ind w:left="426"/>
        <w:rPr>
          <w:rFonts w:ascii="Cambria Math" w:hAnsi="Cambria Math" w:cs="Calibri"/>
          <w:b/>
          <w:bCs/>
          <w:i/>
          <w:iCs/>
          <w:color w:val="000000"/>
          <w:sz w:val="20"/>
          <w:szCs w:val="20"/>
        </w:rPr>
      </w:pPr>
      <w:r>
        <w:rPr>
          <w:rFonts w:ascii="Calibri" w:eastAsia="Times New Roman" w:hAnsi="Calibri" w:cs="Calibri"/>
          <w:b/>
          <w:bCs/>
          <w:iCs/>
          <w:color w:val="000000"/>
          <w:kern w:val="0"/>
          <w:sz w:val="20"/>
          <w:szCs w:val="20"/>
          <w:lang w:eastAsia="es-MX"/>
          <w14:ligatures w14:val="none"/>
        </w:rPr>
        <w:t xml:space="preserve">                                                            </w:t>
      </w:r>
      <m:oMath>
        <m:acc>
          <m:accPr>
            <m:ctrlPr>
              <w:rPr>
                <w:rFonts w:ascii="Cambria Math" w:hAnsi="Cambria Math" w:cs="Calibri"/>
                <w:b/>
                <w:bCs/>
                <w:i/>
                <w:iCs/>
                <w:color w:val="000000"/>
                <w:sz w:val="20"/>
                <w:szCs w:val="20"/>
              </w:rPr>
            </m:ctrlPr>
          </m:accPr>
          <m:e>
            <m:r>
              <m:rPr>
                <m:sty m:val="bi"/>
              </m:rPr>
              <w:rPr>
                <w:rFonts w:ascii="Cambria Math" w:eastAsia="Times New Roman" w:hAnsi="Cambria Math" w:cs="Calibri"/>
                <w:color w:val="000000"/>
                <w:sz w:val="20"/>
                <w:szCs w:val="20"/>
              </w:rPr>
              <m:t>CV</m:t>
            </m:r>
          </m:e>
        </m:acc>
        <m:d>
          <m:dPr>
            <m:ctrlPr>
              <w:rPr>
                <w:rFonts w:ascii="Cambria Math" w:hAnsi="Cambria Math" w:cs="Calibri"/>
                <w:b/>
                <w:bCs/>
                <w:i/>
                <w:iCs/>
                <w:color w:val="000000"/>
                <w:sz w:val="20"/>
                <w:szCs w:val="20"/>
              </w:rPr>
            </m:ctrlPr>
          </m:dPr>
          <m:e>
            <m:acc>
              <m:accPr>
                <m:ctrlPr>
                  <w:rPr>
                    <w:rFonts w:ascii="Cambria Math" w:hAnsi="Cambria Math" w:cs="Calibri"/>
                    <w:b/>
                    <w:bCs/>
                    <w:i/>
                    <w:iCs/>
                    <w:color w:val="000000"/>
                    <w:sz w:val="20"/>
                    <w:szCs w:val="20"/>
                  </w:rPr>
                </m:ctrlPr>
              </m:accPr>
              <m:e>
                <m:r>
                  <m:rPr>
                    <m:sty m:val="bi"/>
                  </m:rPr>
                  <w:rPr>
                    <w:rFonts w:ascii="Cambria Math" w:eastAsia="Times New Roman" w:hAnsi="Cambria Math" w:cs="Calibri"/>
                    <w:color w:val="000000"/>
                    <w:sz w:val="20"/>
                    <w:szCs w:val="20"/>
                  </w:rPr>
                  <m:t>θ</m:t>
                </m:r>
              </m:e>
            </m:acc>
          </m:e>
        </m:d>
        <m:r>
          <m:rPr>
            <m:sty m:val="bi"/>
          </m:rPr>
          <w:rPr>
            <w:rFonts w:ascii="Cambria Math" w:eastAsia="Times New Roman" w:hAnsi="Cambria Math" w:cs="Calibri"/>
            <w:color w:val="000000"/>
            <w:sz w:val="20"/>
            <w:szCs w:val="20"/>
          </w:rPr>
          <m:t>=</m:t>
        </m:r>
        <m:f>
          <m:fPr>
            <m:ctrlPr>
              <w:rPr>
                <w:rFonts w:ascii="Cambria Math" w:hAnsi="Cambria Math" w:cs="Calibri"/>
                <w:b/>
                <w:bCs/>
                <w:i/>
                <w:iCs/>
                <w:color w:val="000000"/>
                <w:sz w:val="20"/>
                <w:szCs w:val="20"/>
              </w:rPr>
            </m:ctrlPr>
          </m:fPr>
          <m:num>
            <m:rad>
              <m:radPr>
                <m:degHide m:val="1"/>
                <m:ctrlPr>
                  <w:rPr>
                    <w:rFonts w:ascii="Cambria Math" w:hAnsi="Cambria Math" w:cs="Calibri"/>
                    <w:b/>
                    <w:bCs/>
                    <w:i/>
                    <w:iCs/>
                    <w:color w:val="000000"/>
                    <w:sz w:val="20"/>
                    <w:szCs w:val="20"/>
                  </w:rPr>
                </m:ctrlPr>
              </m:radPr>
              <m:deg/>
              <m:e>
                <m:acc>
                  <m:accPr>
                    <m:ctrlPr>
                      <w:rPr>
                        <w:rFonts w:ascii="Cambria Math" w:hAnsi="Cambria Math" w:cs="Calibri"/>
                        <w:b/>
                        <w:bCs/>
                        <w:i/>
                        <w:iCs/>
                        <w:color w:val="000000"/>
                        <w:sz w:val="20"/>
                        <w:szCs w:val="20"/>
                      </w:rPr>
                    </m:ctrlPr>
                  </m:accPr>
                  <m:e>
                    <m:r>
                      <m:rPr>
                        <m:sty m:val="bi"/>
                      </m:rPr>
                      <w:rPr>
                        <w:rFonts w:ascii="Cambria Math" w:eastAsia="Times New Roman" w:hAnsi="Cambria Math" w:cs="Calibri"/>
                        <w:color w:val="000000"/>
                        <w:sz w:val="20"/>
                        <w:szCs w:val="20"/>
                      </w:rPr>
                      <m:t>V</m:t>
                    </m:r>
                  </m:e>
                </m:acc>
                <m:d>
                  <m:dPr>
                    <m:ctrlPr>
                      <w:rPr>
                        <w:rFonts w:ascii="Cambria Math" w:hAnsi="Cambria Math" w:cs="Calibri"/>
                        <w:b/>
                        <w:bCs/>
                        <w:i/>
                        <w:iCs/>
                        <w:color w:val="000000"/>
                        <w:sz w:val="20"/>
                        <w:szCs w:val="20"/>
                      </w:rPr>
                    </m:ctrlPr>
                  </m:dPr>
                  <m:e>
                    <m:acc>
                      <m:accPr>
                        <m:ctrlPr>
                          <w:rPr>
                            <w:rFonts w:ascii="Cambria Math" w:hAnsi="Cambria Math" w:cs="Calibri"/>
                            <w:b/>
                            <w:bCs/>
                            <w:i/>
                            <w:iCs/>
                            <w:color w:val="000000"/>
                            <w:sz w:val="20"/>
                            <w:szCs w:val="20"/>
                          </w:rPr>
                        </m:ctrlPr>
                      </m:accPr>
                      <m:e>
                        <m:r>
                          <m:rPr>
                            <m:sty m:val="bi"/>
                          </m:rPr>
                          <w:rPr>
                            <w:rFonts w:ascii="Cambria Math" w:eastAsia="Times New Roman" w:hAnsi="Cambria Math" w:cs="Calibri"/>
                            <w:color w:val="000000"/>
                            <w:sz w:val="20"/>
                            <w:szCs w:val="20"/>
                          </w:rPr>
                          <m:t>θ</m:t>
                        </m:r>
                      </m:e>
                    </m:acc>
                  </m:e>
                </m:d>
              </m:e>
            </m:rad>
          </m:num>
          <m:den>
            <m:acc>
              <m:accPr>
                <m:ctrlPr>
                  <w:rPr>
                    <w:rFonts w:ascii="Cambria Math" w:hAnsi="Cambria Math" w:cs="Calibri"/>
                    <w:b/>
                    <w:bCs/>
                    <w:i/>
                    <w:iCs/>
                    <w:color w:val="000000"/>
                    <w:sz w:val="20"/>
                    <w:szCs w:val="20"/>
                  </w:rPr>
                </m:ctrlPr>
              </m:accPr>
              <m:e>
                <m:r>
                  <m:rPr>
                    <m:sty m:val="bi"/>
                  </m:rPr>
                  <w:rPr>
                    <w:rFonts w:ascii="Cambria Math" w:eastAsia="Times New Roman" w:hAnsi="Cambria Math" w:cs="Calibri"/>
                    <w:color w:val="000000"/>
                    <w:sz w:val="20"/>
                    <w:szCs w:val="20"/>
                  </w:rPr>
                  <m:t>θ</m:t>
                </m:r>
              </m:e>
            </m:acc>
          </m:den>
        </m:f>
        <m:r>
          <m:rPr>
            <m:sty m:val="bi"/>
          </m:rPr>
          <w:rPr>
            <w:rFonts w:ascii="Cambria Math" w:eastAsia="Times New Roman" w:hAnsi="Cambria Math" w:cs="Calibri"/>
            <w:color w:val="000000"/>
            <w:sz w:val="20"/>
            <w:szCs w:val="20"/>
          </w:rPr>
          <m:t>×100</m:t>
        </m:r>
      </m:oMath>
    </w:p>
    <w:p w14:paraId="238DFF59" w14:textId="202EF047" w:rsidR="00294AE7" w:rsidRDefault="00294AE7" w:rsidP="00294AE7">
      <w:pPr>
        <w:pStyle w:val="Prrafodelista"/>
        <w:ind w:left="426"/>
        <w:rPr>
          <w:rFonts w:ascii="Calibri" w:eastAsia="Times New Roman" w:hAnsi="Calibri" w:cs="Calibri"/>
          <w:b/>
          <w:bCs/>
          <w:i/>
          <w:iCs/>
          <w:color w:val="000000"/>
          <w:kern w:val="0"/>
          <w:sz w:val="20"/>
          <w:szCs w:val="20"/>
          <w:lang w:eastAsia="es-MX"/>
          <w14:ligatures w14:val="none"/>
        </w:rPr>
      </w:pPr>
    </w:p>
    <w:p w14:paraId="2F9F245D" w14:textId="70F28966"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Donde:</w:t>
      </w:r>
    </w:p>
    <w:p w14:paraId="2099C3B3" w14:textId="404E4730" w:rsidR="00DE2869" w:rsidRPr="00DE2869" w:rsidRDefault="00000000" w:rsidP="00DE2869">
      <w:pPr>
        <w:pStyle w:val="Prrafodelista"/>
        <w:ind w:left="1701" w:hanging="1134"/>
        <w:rPr>
          <w:rFonts w:ascii="Cambria Math" w:eastAsia="Times New Roman" w:hAnsi="Cambria Math" w:cs="Calibri"/>
          <w:color w:val="000000"/>
          <w:kern w:val="0"/>
          <w:sz w:val="20"/>
          <w:szCs w:val="20"/>
          <w:lang w:eastAsia="es-MX"/>
          <w14:ligatures w14:val="none"/>
        </w:rPr>
      </w:pPr>
      <m:oMath>
        <m:acc>
          <m:accPr>
            <m:ctrlPr>
              <w:rPr>
                <w:rFonts w:ascii="Cambria Math" w:eastAsia="Times New Roman" w:hAnsi="Cambria Math" w:cs="Calibri"/>
                <w:b/>
                <w:bCs/>
                <w:i/>
                <w:iCs/>
                <w:color w:val="000000"/>
                <w:kern w:val="0"/>
                <w:sz w:val="20"/>
                <w:szCs w:val="20"/>
                <w:lang w:eastAsia="es-MX"/>
                <w14:ligatures w14:val="none"/>
              </w:rPr>
            </m:ctrlPr>
          </m:accPr>
          <m:e>
            <m:r>
              <m:rPr>
                <m:sty m:val="bi"/>
              </m:rPr>
              <w:rPr>
                <w:rFonts w:ascii="Cambria Math" w:eastAsia="Times New Roman" w:hAnsi="Cambria Math" w:cs="Calibri"/>
                <w:color w:val="000000"/>
                <w:kern w:val="0"/>
                <w:sz w:val="20"/>
                <w:szCs w:val="20"/>
                <w:lang w:eastAsia="es-MX"/>
                <w14:ligatures w14:val="none"/>
              </w:rPr>
              <m:t>θ</m:t>
            </m:r>
          </m:e>
        </m:acc>
        <m:r>
          <m:rPr>
            <m:sty m:val="bi"/>
          </m:rPr>
          <w:rPr>
            <w:rFonts w:ascii="Cambria Math" w:eastAsia="Times New Roman" w:hAnsi="Cambria Math" w:cs="Calibri"/>
            <w:color w:val="000000"/>
            <w:kern w:val="0"/>
            <w:sz w:val="20"/>
            <w:szCs w:val="20"/>
            <w:lang w:eastAsia="es-MX"/>
            <w14:ligatures w14:val="none"/>
          </w:rPr>
          <m:t>=</m:t>
        </m:r>
      </m:oMath>
      <w:r w:rsidR="00DE2869" w:rsidRPr="00DE2869">
        <w:rPr>
          <w:rFonts w:ascii="Cambria Math" w:eastAsia="Times New Roman" w:hAnsi="Cambria Math" w:cs="Calibri"/>
          <w:b/>
          <w:bCs/>
          <w:i/>
          <w:iCs/>
          <w:color w:val="000000"/>
          <w:kern w:val="0"/>
          <w:sz w:val="20"/>
          <w:szCs w:val="20"/>
          <w:lang w:eastAsia="es-MX"/>
          <w14:ligatures w14:val="none"/>
        </w:rPr>
        <w:t xml:space="preserve"> </w:t>
      </w:r>
      <w:r w:rsidR="00DE2869">
        <w:rPr>
          <w:rFonts w:ascii="Cambria Math" w:eastAsia="Times New Roman" w:hAnsi="Cambria Math" w:cs="Calibri"/>
          <w:b/>
          <w:bCs/>
          <w:i/>
          <w:iCs/>
          <w:color w:val="000000"/>
          <w:kern w:val="0"/>
          <w:sz w:val="20"/>
          <w:szCs w:val="20"/>
          <w:lang w:eastAsia="es-MX"/>
          <w14:ligatures w14:val="none"/>
        </w:rPr>
        <w:t xml:space="preserve">          </w:t>
      </w:r>
      <w:r w:rsidR="00DE2869">
        <w:rPr>
          <w:rFonts w:ascii="Cambria Math" w:eastAsia="Times New Roman" w:hAnsi="Cambria Math" w:cs="Calibri"/>
          <w:color w:val="000000"/>
          <w:kern w:val="0"/>
          <w:sz w:val="20"/>
          <w:szCs w:val="20"/>
          <w:lang w:eastAsia="es-MX"/>
          <w14:ligatures w14:val="none"/>
        </w:rPr>
        <w:t>Es</w:t>
      </w:r>
      <w:r w:rsidR="00DE2869" w:rsidRPr="00DE2869">
        <w:rPr>
          <w:rFonts w:ascii="Cambria Math" w:eastAsia="Times New Roman" w:hAnsi="Cambria Math" w:cs="Calibri"/>
          <w:color w:val="000000"/>
          <w:kern w:val="0"/>
          <w:sz w:val="20"/>
          <w:szCs w:val="20"/>
          <w:lang w:eastAsia="es-MX"/>
          <w14:ligatures w14:val="none"/>
        </w:rPr>
        <w:t xml:space="preserve">timador del valor poblacional </w:t>
      </w:r>
      <m:oMath>
        <m:r>
          <m:rPr>
            <m:sty m:val="p"/>
          </m:rPr>
          <w:rPr>
            <w:rFonts w:ascii="Cambria Math" w:eastAsia="Times New Roman" w:hAnsi="Cambria Math" w:cs="Calibri"/>
            <w:color w:val="000000"/>
            <w:kern w:val="0"/>
            <w:sz w:val="20"/>
            <w:szCs w:val="20"/>
            <w:lang w:eastAsia="es-MX"/>
            <w14:ligatures w14:val="none"/>
          </w:rPr>
          <m:t>θ</m:t>
        </m:r>
      </m:oMath>
      <w:r w:rsidR="00DE2869" w:rsidRPr="00DE2869">
        <w:rPr>
          <w:rFonts w:ascii="Cambria Math" w:eastAsia="Times New Roman" w:hAnsi="Cambria Math" w:cs="Calibri"/>
          <w:color w:val="000000"/>
          <w:kern w:val="0"/>
          <w:sz w:val="20"/>
          <w:szCs w:val="20"/>
          <w:lang w:eastAsia="es-MX"/>
          <w14:ligatures w14:val="none"/>
        </w:rPr>
        <w:t>.</w:t>
      </w:r>
    </w:p>
    <w:p w14:paraId="45F566A5" w14:textId="25EF3922" w:rsidR="00DE2869" w:rsidRPr="00DE2869" w:rsidRDefault="00000000" w:rsidP="00DE2869">
      <w:pPr>
        <w:pStyle w:val="Prrafodelista"/>
        <w:ind w:left="1701" w:hanging="1134"/>
        <w:rPr>
          <w:rFonts w:ascii="Cambria Math" w:eastAsia="Times New Roman" w:hAnsi="Cambria Math" w:cs="Calibri"/>
          <w:color w:val="000000"/>
          <w:kern w:val="0"/>
          <w:sz w:val="20"/>
          <w:szCs w:val="20"/>
          <w:lang w:eastAsia="es-MX"/>
          <w14:ligatures w14:val="none"/>
        </w:rPr>
      </w:pPr>
      <m:oMath>
        <m:acc>
          <m:accPr>
            <m:ctrlPr>
              <w:rPr>
                <w:rFonts w:ascii="Cambria Math" w:eastAsia="Times New Roman" w:hAnsi="Cambria Math" w:cs="Calibri"/>
                <w:b/>
                <w:bCs/>
                <w:i/>
                <w:iCs/>
                <w:color w:val="000000"/>
                <w:kern w:val="0"/>
                <w:sz w:val="20"/>
                <w:szCs w:val="20"/>
                <w:lang w:eastAsia="es-MX"/>
                <w14:ligatures w14:val="none"/>
              </w:rPr>
            </m:ctrlPr>
          </m:accPr>
          <m:e>
            <m:r>
              <m:rPr>
                <m:sty m:val="bi"/>
              </m:rPr>
              <w:rPr>
                <w:rFonts w:ascii="Cambria Math" w:eastAsia="Times New Roman" w:hAnsi="Cambria Math" w:cs="Calibri"/>
                <w:color w:val="000000"/>
                <w:kern w:val="0"/>
                <w:sz w:val="20"/>
                <w:szCs w:val="20"/>
                <w:lang w:eastAsia="es-MX"/>
                <w14:ligatures w14:val="none"/>
              </w:rPr>
              <m:t>V</m:t>
            </m:r>
          </m:e>
        </m:acc>
        <m:d>
          <m:dPr>
            <m:ctrlPr>
              <w:rPr>
                <w:rFonts w:ascii="Cambria Math" w:eastAsia="Times New Roman" w:hAnsi="Cambria Math" w:cs="Calibri"/>
                <w:b/>
                <w:bCs/>
                <w:i/>
                <w:iCs/>
                <w:color w:val="000000"/>
                <w:kern w:val="0"/>
                <w:sz w:val="20"/>
                <w:szCs w:val="20"/>
                <w:lang w:eastAsia="es-MX"/>
                <w14:ligatures w14:val="none"/>
              </w:rPr>
            </m:ctrlPr>
          </m:dPr>
          <m:e>
            <m:acc>
              <m:accPr>
                <m:ctrlPr>
                  <w:rPr>
                    <w:rFonts w:ascii="Cambria Math" w:eastAsia="Times New Roman" w:hAnsi="Cambria Math" w:cs="Calibri"/>
                    <w:b/>
                    <w:bCs/>
                    <w:i/>
                    <w:iCs/>
                    <w:color w:val="000000"/>
                    <w:kern w:val="0"/>
                    <w:sz w:val="20"/>
                    <w:szCs w:val="20"/>
                    <w:lang w:eastAsia="es-MX"/>
                    <w14:ligatures w14:val="none"/>
                  </w:rPr>
                </m:ctrlPr>
              </m:accPr>
              <m:e>
                <m:r>
                  <m:rPr>
                    <m:sty m:val="bi"/>
                  </m:rPr>
                  <w:rPr>
                    <w:rFonts w:ascii="Cambria Math" w:eastAsia="Times New Roman" w:hAnsi="Cambria Math" w:cs="Calibri"/>
                    <w:color w:val="000000"/>
                    <w:kern w:val="0"/>
                    <w:sz w:val="20"/>
                    <w:szCs w:val="20"/>
                    <w:lang w:eastAsia="es-MX"/>
                    <w14:ligatures w14:val="none"/>
                  </w:rPr>
                  <m:t>θ</m:t>
                </m:r>
              </m:e>
            </m:acc>
          </m:e>
        </m:d>
        <m:r>
          <m:rPr>
            <m:sty m:val="bi"/>
          </m:rPr>
          <w:rPr>
            <w:rFonts w:ascii="Cambria Math" w:eastAsia="Times New Roman" w:hAnsi="Cambria Math" w:cs="Calibri"/>
            <w:color w:val="000000"/>
            <w:kern w:val="0"/>
            <w:sz w:val="20"/>
            <w:szCs w:val="20"/>
            <w:lang w:eastAsia="es-MX"/>
            <w14:ligatures w14:val="none"/>
          </w:rPr>
          <m:t>=</m:t>
        </m:r>
      </m:oMath>
      <w:r w:rsidR="00DE2869" w:rsidRPr="00DE2869">
        <w:rPr>
          <w:rFonts w:ascii="Cambria Math" w:eastAsia="Times New Roman" w:hAnsi="Cambria Math" w:cs="Calibri"/>
          <w:b/>
          <w:bCs/>
          <w:i/>
          <w:iCs/>
          <w:color w:val="000000"/>
          <w:kern w:val="0"/>
          <w:sz w:val="20"/>
          <w:szCs w:val="20"/>
          <w:lang w:eastAsia="es-MX"/>
          <w14:ligatures w14:val="none"/>
        </w:rPr>
        <w:t xml:space="preserve"> </w:t>
      </w:r>
      <w:r w:rsidR="00DE2869">
        <w:rPr>
          <w:rFonts w:ascii="Cambria Math" w:eastAsia="Times New Roman" w:hAnsi="Cambria Math" w:cs="Calibri"/>
          <w:b/>
          <w:bCs/>
          <w:i/>
          <w:iCs/>
          <w:color w:val="000000"/>
          <w:kern w:val="0"/>
          <w:sz w:val="20"/>
          <w:szCs w:val="20"/>
          <w:lang w:eastAsia="es-MX"/>
          <w14:ligatures w14:val="none"/>
        </w:rPr>
        <w:t xml:space="preserve">   </w:t>
      </w:r>
      <w:r w:rsidR="00DE2869">
        <w:rPr>
          <w:rFonts w:ascii="Cambria Math" w:eastAsia="Times New Roman" w:hAnsi="Cambria Math" w:cs="Calibri"/>
          <w:color w:val="000000"/>
          <w:kern w:val="0"/>
          <w:sz w:val="20"/>
          <w:szCs w:val="20"/>
          <w:lang w:eastAsia="es-MX"/>
          <w14:ligatures w14:val="none"/>
        </w:rPr>
        <w:t>Es</w:t>
      </w:r>
      <w:r w:rsidR="00DE2869" w:rsidRPr="00DE2869">
        <w:rPr>
          <w:rFonts w:ascii="Cambria Math" w:eastAsia="Times New Roman" w:hAnsi="Cambria Math" w:cs="Calibri"/>
          <w:color w:val="000000"/>
          <w:kern w:val="0"/>
          <w:sz w:val="20"/>
          <w:szCs w:val="20"/>
          <w:lang w:eastAsia="es-MX"/>
          <w14:ligatures w14:val="none"/>
        </w:rPr>
        <w:t xml:space="preserve">timador de la varianza de </w:t>
      </w:r>
      <m:oMath>
        <m:acc>
          <m:accPr>
            <m:ctrlPr>
              <w:rPr>
                <w:rFonts w:ascii="Cambria Math" w:eastAsia="Times New Roman" w:hAnsi="Cambria Math" w:cs="Calibri"/>
                <w:color w:val="000000"/>
                <w:kern w:val="0"/>
                <w:sz w:val="20"/>
                <w:szCs w:val="20"/>
                <w:lang w:eastAsia="es-MX"/>
                <w14:ligatures w14:val="none"/>
              </w:rPr>
            </m:ctrlPr>
          </m:accPr>
          <m:e>
            <m:r>
              <m:rPr>
                <m:sty m:val="p"/>
              </m:rPr>
              <w:rPr>
                <w:rFonts w:ascii="Cambria Math" w:eastAsia="Times New Roman" w:hAnsi="Cambria Math" w:cs="Calibri"/>
                <w:color w:val="000000"/>
                <w:kern w:val="0"/>
                <w:sz w:val="20"/>
                <w:szCs w:val="20"/>
                <w:lang w:eastAsia="es-MX"/>
                <w14:ligatures w14:val="none"/>
              </w:rPr>
              <m:t>θ</m:t>
            </m:r>
          </m:e>
        </m:acc>
      </m:oMath>
      <w:r w:rsidR="00DE2869" w:rsidRPr="00DE2869">
        <w:rPr>
          <w:rFonts w:ascii="Cambria Math" w:eastAsia="Times New Roman" w:hAnsi="Cambria Math" w:cs="Calibri"/>
          <w:color w:val="000000"/>
          <w:kern w:val="0"/>
          <w:sz w:val="20"/>
          <w:szCs w:val="20"/>
          <w:lang w:eastAsia="es-MX"/>
          <w14:ligatures w14:val="none"/>
        </w:rPr>
        <w:t>.</w:t>
      </w:r>
    </w:p>
    <w:p w14:paraId="726F9FC1" w14:textId="0F6831F6" w:rsidR="00DE2869" w:rsidRPr="00DE2869" w:rsidRDefault="00000000" w:rsidP="00DE2869">
      <w:pPr>
        <w:pStyle w:val="Prrafodelista"/>
        <w:ind w:left="1701" w:hanging="1134"/>
        <w:rPr>
          <w:rFonts w:ascii="Cambria Math" w:eastAsia="Times New Roman" w:hAnsi="Cambria Math" w:cs="Calibri"/>
          <w:b/>
          <w:bCs/>
          <w:i/>
          <w:iCs/>
          <w:color w:val="000000"/>
          <w:kern w:val="0"/>
          <w:sz w:val="20"/>
          <w:szCs w:val="20"/>
          <w:lang w:eastAsia="es-MX"/>
          <w14:ligatures w14:val="none"/>
        </w:rPr>
      </w:pPr>
      <m:oMath>
        <m:acc>
          <m:accPr>
            <m:ctrlPr>
              <w:rPr>
                <w:rFonts w:ascii="Cambria Math" w:eastAsia="Times New Roman" w:hAnsi="Cambria Math" w:cs="Calibri"/>
                <w:b/>
                <w:bCs/>
                <w:i/>
                <w:iCs/>
                <w:color w:val="000000"/>
                <w:kern w:val="0"/>
                <w:sz w:val="20"/>
                <w:szCs w:val="20"/>
                <w:lang w:eastAsia="es-MX"/>
                <w14:ligatures w14:val="none"/>
              </w:rPr>
            </m:ctrlPr>
          </m:accPr>
          <m:e>
            <m:r>
              <m:rPr>
                <m:sty m:val="bi"/>
              </m:rPr>
              <w:rPr>
                <w:rFonts w:ascii="Cambria Math" w:eastAsia="Times New Roman" w:hAnsi="Cambria Math" w:cs="Calibri"/>
                <w:color w:val="000000"/>
                <w:kern w:val="0"/>
                <w:sz w:val="20"/>
                <w:szCs w:val="20"/>
                <w:lang w:eastAsia="es-MX"/>
                <w14:ligatures w14:val="none"/>
              </w:rPr>
              <m:t>CV</m:t>
            </m:r>
          </m:e>
        </m:acc>
        <m:d>
          <m:dPr>
            <m:ctrlPr>
              <w:rPr>
                <w:rFonts w:ascii="Cambria Math" w:eastAsia="Times New Roman" w:hAnsi="Cambria Math" w:cs="Calibri"/>
                <w:b/>
                <w:bCs/>
                <w:i/>
                <w:iCs/>
                <w:color w:val="000000"/>
                <w:kern w:val="0"/>
                <w:sz w:val="20"/>
                <w:szCs w:val="20"/>
                <w:lang w:eastAsia="es-MX"/>
                <w14:ligatures w14:val="none"/>
              </w:rPr>
            </m:ctrlPr>
          </m:dPr>
          <m:e>
            <m:acc>
              <m:accPr>
                <m:ctrlPr>
                  <w:rPr>
                    <w:rFonts w:ascii="Cambria Math" w:eastAsia="Times New Roman" w:hAnsi="Cambria Math" w:cs="Calibri"/>
                    <w:b/>
                    <w:bCs/>
                    <w:i/>
                    <w:iCs/>
                    <w:color w:val="000000"/>
                    <w:kern w:val="0"/>
                    <w:sz w:val="20"/>
                    <w:szCs w:val="20"/>
                    <w:lang w:eastAsia="es-MX"/>
                    <w14:ligatures w14:val="none"/>
                  </w:rPr>
                </m:ctrlPr>
              </m:accPr>
              <m:e>
                <m:r>
                  <m:rPr>
                    <m:sty m:val="bi"/>
                  </m:rPr>
                  <w:rPr>
                    <w:rFonts w:ascii="Cambria Math" w:eastAsia="Times New Roman" w:hAnsi="Cambria Math" w:cs="Calibri"/>
                    <w:color w:val="000000"/>
                    <w:kern w:val="0"/>
                    <w:sz w:val="20"/>
                    <w:szCs w:val="20"/>
                    <w:lang w:eastAsia="es-MX"/>
                    <w14:ligatures w14:val="none"/>
                  </w:rPr>
                  <m:t>θ</m:t>
                </m:r>
              </m:e>
            </m:acc>
          </m:e>
        </m:d>
        <m:r>
          <m:rPr>
            <m:sty m:val="bi"/>
          </m:rPr>
          <w:rPr>
            <w:rFonts w:ascii="Cambria Math" w:eastAsia="Times New Roman" w:hAnsi="Cambria Math" w:cs="Calibri"/>
            <w:color w:val="000000"/>
            <w:kern w:val="0"/>
            <w:sz w:val="20"/>
            <w:szCs w:val="20"/>
            <w:lang w:eastAsia="es-MX"/>
            <w14:ligatures w14:val="none"/>
          </w:rPr>
          <m:t>=</m:t>
        </m:r>
      </m:oMath>
      <w:r w:rsidR="00DE2869" w:rsidRPr="00DE2869">
        <w:rPr>
          <w:rFonts w:ascii="Cambria Math" w:eastAsia="Times New Roman" w:hAnsi="Cambria Math" w:cs="Calibri"/>
          <w:b/>
          <w:bCs/>
          <w:i/>
          <w:iCs/>
          <w:color w:val="000000"/>
          <w:kern w:val="0"/>
          <w:sz w:val="20"/>
          <w:szCs w:val="20"/>
          <w:lang w:eastAsia="es-MX"/>
          <w14:ligatures w14:val="none"/>
        </w:rPr>
        <w:t xml:space="preserve"> </w:t>
      </w:r>
      <w:r w:rsidR="00DE2869">
        <w:rPr>
          <w:rFonts w:ascii="Cambria Math" w:eastAsia="Times New Roman" w:hAnsi="Cambria Math" w:cs="Calibri"/>
          <w:color w:val="000000"/>
          <w:kern w:val="0"/>
          <w:sz w:val="20"/>
          <w:szCs w:val="20"/>
          <w:lang w:eastAsia="es-MX"/>
          <w14:ligatures w14:val="none"/>
        </w:rPr>
        <w:t>E</w:t>
      </w:r>
      <w:r w:rsidR="00DE2869" w:rsidRPr="00DE2869">
        <w:rPr>
          <w:rFonts w:ascii="Cambria Math" w:eastAsia="Times New Roman" w:hAnsi="Cambria Math" w:cs="Calibri"/>
          <w:color w:val="000000"/>
          <w:kern w:val="0"/>
          <w:sz w:val="20"/>
          <w:szCs w:val="20"/>
          <w:lang w:eastAsia="es-MX"/>
          <w14:ligatures w14:val="none"/>
        </w:rPr>
        <w:t xml:space="preserve">stimador del coeficiente de variación </w:t>
      </w:r>
      <m:oMath>
        <m:acc>
          <m:accPr>
            <m:ctrlPr>
              <w:rPr>
                <w:rFonts w:ascii="Cambria Math" w:eastAsia="Times New Roman" w:hAnsi="Cambria Math" w:cs="Calibri"/>
                <w:color w:val="000000"/>
                <w:kern w:val="0"/>
                <w:sz w:val="20"/>
                <w:szCs w:val="20"/>
                <w:lang w:eastAsia="es-MX"/>
                <w14:ligatures w14:val="none"/>
              </w:rPr>
            </m:ctrlPr>
          </m:accPr>
          <m:e>
            <m:r>
              <m:rPr>
                <m:sty m:val="p"/>
              </m:rPr>
              <w:rPr>
                <w:rFonts w:ascii="Cambria Math" w:eastAsia="Times New Roman" w:hAnsi="Cambria Math" w:cs="Calibri"/>
                <w:color w:val="000000"/>
                <w:kern w:val="0"/>
                <w:sz w:val="20"/>
                <w:szCs w:val="20"/>
                <w:lang w:eastAsia="es-MX"/>
                <w14:ligatures w14:val="none"/>
              </w:rPr>
              <m:t>θ</m:t>
            </m:r>
          </m:e>
        </m:acc>
        <m:r>
          <m:rPr>
            <m:sty m:val="p"/>
          </m:rPr>
          <w:rPr>
            <w:rFonts w:ascii="Cambria Math" w:eastAsia="Times New Roman" w:hAnsi="Cambria Math" w:cs="Calibri"/>
            <w:color w:val="000000"/>
            <w:kern w:val="0"/>
            <w:sz w:val="20"/>
            <w:szCs w:val="20"/>
            <w:lang w:eastAsia="es-MX"/>
            <w14:ligatures w14:val="none"/>
          </w:rPr>
          <m:t>.</m:t>
        </m:r>
      </m:oMath>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4E67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7560D302" w14:textId="5071C4C9" w:rsidR="00DE2869" w:rsidRPr="00DE2869" w:rsidRDefault="00294AE7" w:rsidP="00DE2869">
      <w:pPr>
        <w:ind w:left="426"/>
        <w:rPr>
          <w:rFonts w:ascii="Calibri" w:hAnsi="Calibri" w:cs="Calibri"/>
          <w:sz w:val="20"/>
          <w:szCs w:val="20"/>
        </w:rPr>
      </w:pPr>
      <w:r w:rsidRPr="00294AE7">
        <w:rPr>
          <w:rFonts w:ascii="Calibri" w:eastAsia="Times New Roman" w:hAnsi="Calibri" w:cs="Calibri"/>
          <w:b/>
          <w:bCs/>
          <w:kern w:val="0"/>
          <w:sz w:val="20"/>
          <w:szCs w:val="20"/>
          <w:lang w:eastAsia="es-MX"/>
          <w14:ligatures w14:val="none"/>
        </w:rPr>
        <w:br/>
      </w:r>
      <w:r w:rsidR="00DE2869" w:rsidRPr="00DE2869">
        <w:rPr>
          <w:rFonts w:ascii="Calibri" w:eastAsia="Times New Roman" w:hAnsi="Calibri" w:cs="Calibri"/>
          <w:sz w:val="20"/>
          <w:szCs w:val="20"/>
        </w:rPr>
        <w:t xml:space="preserve">El estimador del parámetro de interés, </w:t>
      </w:r>
      <m:oMath>
        <m:acc>
          <m:accPr>
            <m:ctrlPr>
              <w:rPr>
                <w:rFonts w:ascii="Cambria Math" w:hAnsi="Cambria Math" w:cs="Calibri"/>
                <w:i/>
                <w:iCs/>
                <w:sz w:val="20"/>
                <w:szCs w:val="20"/>
              </w:rPr>
            </m:ctrlPr>
          </m:accPr>
          <m:e>
            <m:r>
              <w:rPr>
                <w:rFonts w:ascii="Cambria Math" w:eastAsia="Times New Roman" w:hAnsi="Cambria Math" w:cs="Calibri"/>
                <w:sz w:val="20"/>
                <w:szCs w:val="20"/>
              </w:rPr>
              <m:t>θ</m:t>
            </m:r>
          </m:e>
        </m:acc>
      </m:oMath>
      <w:r w:rsidR="00DE2869" w:rsidRPr="00DE2869">
        <w:rPr>
          <w:rFonts w:ascii="Calibri" w:eastAsia="Times New Roman" w:hAnsi="Calibri" w:cs="Calibri"/>
          <w:sz w:val="20"/>
          <w:szCs w:val="20"/>
        </w:rPr>
        <w:t>, se calcula con información del mismo pro</w:t>
      </w:r>
      <w:r w:rsidR="00F7216B">
        <w:rPr>
          <w:rFonts w:ascii="Calibri" w:eastAsia="Times New Roman" w:hAnsi="Calibri" w:cs="Calibri"/>
          <w:sz w:val="20"/>
          <w:szCs w:val="20"/>
        </w:rPr>
        <w:t>ceso de producción</w:t>
      </w:r>
      <w:r w:rsidR="00DE2869" w:rsidRPr="00DE2869">
        <w:rPr>
          <w:rFonts w:ascii="Calibri" w:eastAsia="Times New Roman" w:hAnsi="Calibri" w:cs="Calibri"/>
          <w:sz w:val="20"/>
          <w:szCs w:val="20"/>
        </w:rPr>
        <w:t xml:space="preserve"> para </w:t>
      </w:r>
      <w:r w:rsidR="00F7216B">
        <w:rPr>
          <w:rFonts w:ascii="Calibri" w:eastAsia="Times New Roman" w:hAnsi="Calibri" w:cs="Calibri"/>
          <w:sz w:val="20"/>
          <w:szCs w:val="20"/>
        </w:rPr>
        <w:t>el</w:t>
      </w:r>
      <w:r w:rsidR="00DE2869" w:rsidRPr="00DE2869">
        <w:rPr>
          <w:rFonts w:ascii="Calibri" w:eastAsia="Times New Roman" w:hAnsi="Calibri" w:cs="Calibri"/>
          <w:sz w:val="20"/>
          <w:szCs w:val="20"/>
        </w:rPr>
        <w:t xml:space="preserve"> cual se calcula el indicador.</w:t>
      </w:r>
    </w:p>
    <w:p w14:paraId="1E8BF355" w14:textId="6C8AF9CF" w:rsidR="00DE2869" w:rsidRDefault="00DE2869" w:rsidP="00DE2869">
      <w:pPr>
        <w:spacing w:after="0" w:line="240" w:lineRule="auto"/>
        <w:ind w:left="426"/>
        <w:rPr>
          <w:rFonts w:ascii="Calibri" w:eastAsia="Times New Roman" w:hAnsi="Calibri" w:cs="Calibri"/>
          <w:kern w:val="0"/>
          <w:sz w:val="20"/>
          <w:szCs w:val="20"/>
          <w:lang w:eastAsia="es-MX"/>
          <w14:ligatures w14:val="none"/>
        </w:rPr>
      </w:pPr>
      <w:r w:rsidRPr="00DE2869">
        <w:rPr>
          <w:rFonts w:ascii="Calibri" w:eastAsia="Times New Roman" w:hAnsi="Calibri" w:cs="Calibri"/>
          <w:kern w:val="0"/>
          <w:sz w:val="20"/>
          <w:szCs w:val="20"/>
          <w:lang w:eastAsia="es-MX"/>
          <w14:ligatures w14:val="none"/>
        </w:rPr>
        <w:t xml:space="preserve">El estimador de la varianza, </w:t>
      </w:r>
      <m:oMath>
        <m:acc>
          <m:accPr>
            <m:ctrlPr>
              <w:rPr>
                <w:rFonts w:ascii="Cambria Math" w:eastAsia="Times New Roman" w:hAnsi="Cambria Math" w:cs="Calibri"/>
                <w:i/>
                <w:iCs/>
                <w:kern w:val="0"/>
                <w:sz w:val="20"/>
                <w:szCs w:val="20"/>
                <w:lang w:eastAsia="es-MX"/>
                <w14:ligatures w14:val="none"/>
              </w:rPr>
            </m:ctrlPr>
          </m:accPr>
          <m:e>
            <m:r>
              <w:rPr>
                <w:rFonts w:ascii="Cambria Math" w:eastAsia="Times New Roman" w:hAnsi="Cambria Math" w:cs="Calibri"/>
                <w:kern w:val="0"/>
                <w:sz w:val="20"/>
                <w:szCs w:val="20"/>
                <w:lang w:eastAsia="es-MX"/>
                <w14:ligatures w14:val="none"/>
              </w:rPr>
              <m:t>V</m:t>
            </m:r>
          </m:e>
        </m:acc>
        <m:d>
          <m:dPr>
            <m:ctrlPr>
              <w:rPr>
                <w:rFonts w:ascii="Cambria Math" w:eastAsia="Times New Roman" w:hAnsi="Cambria Math" w:cs="Calibri"/>
                <w:i/>
                <w:iCs/>
                <w:kern w:val="0"/>
                <w:sz w:val="20"/>
                <w:szCs w:val="20"/>
                <w:lang w:eastAsia="es-MX"/>
                <w14:ligatures w14:val="none"/>
              </w:rPr>
            </m:ctrlPr>
          </m:dPr>
          <m:e>
            <m:acc>
              <m:accPr>
                <m:ctrlPr>
                  <w:rPr>
                    <w:rFonts w:ascii="Cambria Math" w:eastAsia="Times New Roman" w:hAnsi="Cambria Math" w:cs="Calibri"/>
                    <w:i/>
                    <w:iCs/>
                    <w:kern w:val="0"/>
                    <w:sz w:val="20"/>
                    <w:szCs w:val="20"/>
                    <w:lang w:eastAsia="es-MX"/>
                    <w14:ligatures w14:val="none"/>
                  </w:rPr>
                </m:ctrlPr>
              </m:accPr>
              <m:e>
                <m:r>
                  <w:rPr>
                    <w:rFonts w:ascii="Cambria Math" w:eastAsia="Times New Roman" w:hAnsi="Cambria Math" w:cs="Calibri"/>
                    <w:kern w:val="0"/>
                    <w:sz w:val="20"/>
                    <w:szCs w:val="20"/>
                    <w:lang w:eastAsia="es-MX"/>
                    <w14:ligatures w14:val="none"/>
                  </w:rPr>
                  <m:t>θ</m:t>
                </m:r>
              </m:e>
            </m:acc>
          </m:e>
        </m:d>
      </m:oMath>
      <w:r w:rsidRPr="00DE2869">
        <w:rPr>
          <w:rFonts w:ascii="Calibri" w:eastAsia="Times New Roman" w:hAnsi="Calibri" w:cs="Calibri"/>
          <w:kern w:val="0"/>
          <w:sz w:val="20"/>
          <w:szCs w:val="20"/>
          <w:lang w:eastAsia="es-MX"/>
          <w14:ligatures w14:val="none"/>
        </w:rPr>
        <w:t>, también se calcula con información del mismo pro</w:t>
      </w:r>
      <w:r w:rsidR="00F7216B">
        <w:rPr>
          <w:rFonts w:ascii="Calibri" w:eastAsia="Times New Roman" w:hAnsi="Calibri" w:cs="Calibri"/>
          <w:kern w:val="0"/>
          <w:sz w:val="20"/>
          <w:szCs w:val="20"/>
          <w:lang w:eastAsia="es-MX"/>
          <w14:ligatures w14:val="none"/>
        </w:rPr>
        <w:t>ceso de producción</w:t>
      </w:r>
      <w:r w:rsidRPr="00DE2869">
        <w:rPr>
          <w:rFonts w:ascii="Calibri" w:eastAsia="Times New Roman" w:hAnsi="Calibri" w:cs="Calibri"/>
          <w:kern w:val="0"/>
          <w:sz w:val="20"/>
          <w:szCs w:val="20"/>
          <w:lang w:eastAsia="es-MX"/>
          <w14:ligatures w14:val="none"/>
        </w:rPr>
        <w:t xml:space="preserve"> para </w:t>
      </w:r>
      <w:r w:rsidR="00F7216B">
        <w:rPr>
          <w:rFonts w:ascii="Calibri" w:eastAsia="Times New Roman" w:hAnsi="Calibri" w:cs="Calibri"/>
          <w:kern w:val="0"/>
          <w:sz w:val="20"/>
          <w:szCs w:val="20"/>
          <w:lang w:eastAsia="es-MX"/>
          <w14:ligatures w14:val="none"/>
        </w:rPr>
        <w:t>el</w:t>
      </w:r>
      <w:r w:rsidRPr="00DE2869">
        <w:rPr>
          <w:rFonts w:ascii="Calibri" w:eastAsia="Times New Roman" w:hAnsi="Calibri" w:cs="Calibri"/>
          <w:kern w:val="0"/>
          <w:sz w:val="20"/>
          <w:szCs w:val="20"/>
          <w:lang w:eastAsia="es-MX"/>
          <w14:ligatures w14:val="none"/>
        </w:rPr>
        <w:t xml:space="preserve"> cual se calcula el indicador. Así que el error estándar sólo requiere de la información </w:t>
      </w:r>
      <w:r w:rsidRPr="00DE2869">
        <w:rPr>
          <w:rFonts w:ascii="Calibri" w:eastAsia="Times New Roman" w:hAnsi="Calibri" w:cs="Calibri"/>
          <w:kern w:val="0"/>
          <w:sz w:val="20"/>
          <w:szCs w:val="20"/>
          <w:lang w:eastAsia="es-MX"/>
          <w14:ligatures w14:val="none"/>
        </w:rPr>
        <w:lastRenderedPageBreak/>
        <w:t>de la muestra y de las variables usadas en el diseño muestral (factores de expansión, estratos de diseño, conglomerados, etcétera)</w:t>
      </w:r>
      <w:r w:rsidR="00705EC1">
        <w:rPr>
          <w:rFonts w:ascii="Calibri" w:eastAsia="Times New Roman" w:hAnsi="Calibri" w:cs="Calibri"/>
          <w:kern w:val="0"/>
          <w:sz w:val="20"/>
          <w:szCs w:val="20"/>
          <w:lang w:eastAsia="es-MX"/>
          <w14:ligatures w14:val="none"/>
        </w:rPr>
        <w:t>.</w:t>
      </w:r>
    </w:p>
    <w:p w14:paraId="194F7B42" w14:textId="77777777" w:rsidR="00705EC1" w:rsidRPr="00DE2869" w:rsidRDefault="00705EC1" w:rsidP="00DE2869">
      <w:pPr>
        <w:spacing w:after="0" w:line="240" w:lineRule="auto"/>
        <w:ind w:left="426"/>
        <w:rPr>
          <w:rFonts w:ascii="Calibri" w:eastAsia="Times New Roman" w:hAnsi="Calibri" w:cs="Calibri"/>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5BE15515" w:rsidR="00294AE7" w:rsidRDefault="00DE2869"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El coeficiente de variación se calcula individualmente para las variables principales generadas a partir de pro</w:t>
      </w:r>
      <w:r>
        <w:rPr>
          <w:rFonts w:ascii="Calibri" w:eastAsia="Times New Roman" w:hAnsi="Calibri" w:cs="Calibri"/>
          <w:color w:val="000000"/>
          <w:kern w:val="0"/>
          <w:sz w:val="20"/>
          <w:szCs w:val="20"/>
          <w:lang w:eastAsia="es-MX"/>
          <w14:ligatures w14:val="none"/>
        </w:rPr>
        <w:t>cesos de producción</w:t>
      </w:r>
      <w:r w:rsidRPr="00DE2869">
        <w:rPr>
          <w:rFonts w:ascii="Calibri" w:eastAsia="Times New Roman" w:hAnsi="Calibri" w:cs="Calibri"/>
          <w:color w:val="000000"/>
          <w:kern w:val="0"/>
          <w:sz w:val="20"/>
          <w:szCs w:val="20"/>
          <w:lang w:eastAsia="es-MX"/>
          <w14:ligatures w14:val="none"/>
        </w:rPr>
        <w:t xml:space="preserve"> con muestreo probabilístico. Su desagregación está asociada a los dominios de estudio y cobertura sectorial para los cuales fue diseñado el pro</w:t>
      </w:r>
      <w:r>
        <w:rPr>
          <w:rFonts w:ascii="Calibri" w:eastAsia="Times New Roman" w:hAnsi="Calibri" w:cs="Calibri"/>
          <w:color w:val="000000"/>
          <w:kern w:val="0"/>
          <w:sz w:val="20"/>
          <w:szCs w:val="20"/>
          <w:lang w:eastAsia="es-MX"/>
          <w14:ligatures w14:val="none"/>
        </w:rPr>
        <w:t>ceso de producción</w:t>
      </w:r>
      <w:r w:rsidRPr="00DE2869">
        <w:rPr>
          <w:rFonts w:ascii="Calibri" w:eastAsia="Times New Roman" w:hAnsi="Calibri" w:cs="Calibri"/>
          <w:color w:val="000000"/>
          <w:kern w:val="0"/>
          <w:sz w:val="20"/>
          <w:szCs w:val="20"/>
          <w:lang w:eastAsia="es-MX"/>
          <w14:ligatures w14:val="none"/>
        </w:rPr>
        <w:t xml:space="preserve"> por lo que no es posible su agregación a nivel institucional.</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4D52FF10" w14:textId="20DC1E87" w:rsidR="00294AE7" w:rsidRDefault="00DE2869"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El coeficiente de variación es el cociente de la raíz cuadrada de la varianza estimada del estimador entre el estimador del parámetro de interés por cien.</w:t>
      </w:r>
    </w:p>
    <w:p w14:paraId="33AB83C4" w14:textId="77777777" w:rsidR="00DE2869" w:rsidRDefault="00DE2869"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4A15779D" w14:textId="6EDAC20B" w:rsidR="00DE2869" w:rsidRPr="00DE2869" w:rsidRDefault="00DE2869" w:rsidP="00DE2869">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E</w:t>
      </w:r>
      <w:r>
        <w:rPr>
          <w:rFonts w:ascii="Calibri" w:eastAsia="Times New Roman" w:hAnsi="Calibri" w:cs="Calibri"/>
          <w:color w:val="000000"/>
          <w:kern w:val="0"/>
          <w:sz w:val="20"/>
          <w:szCs w:val="20"/>
          <w:lang w:eastAsia="es-MX"/>
          <w14:ligatures w14:val="none"/>
        </w:rPr>
        <w:t>ste</w:t>
      </w:r>
      <w:r w:rsidRPr="00DE2869">
        <w:rPr>
          <w:rFonts w:ascii="Calibri" w:eastAsia="Times New Roman" w:hAnsi="Calibri" w:cs="Calibri"/>
          <w:color w:val="000000"/>
          <w:kern w:val="0"/>
          <w:sz w:val="20"/>
          <w:szCs w:val="20"/>
          <w:lang w:eastAsia="es-MX"/>
          <w14:ligatures w14:val="none"/>
        </w:rPr>
        <w:t xml:space="preserve"> coeficiente será considerado como el principal indicador de precisión estadística.</w:t>
      </w:r>
    </w:p>
    <w:p w14:paraId="349A9C8D" w14:textId="77777777" w:rsidR="00DE2869" w:rsidRPr="00DE2869" w:rsidRDefault="00DE2869" w:rsidP="00DE2869">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2B2AF3F5" w14:textId="6BAA4537" w:rsidR="00DE2869" w:rsidRDefault="00DE2869" w:rsidP="00DE2869">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Para cada pro</w:t>
      </w:r>
      <w:r>
        <w:rPr>
          <w:rFonts w:ascii="Calibri" w:eastAsia="Times New Roman" w:hAnsi="Calibri" w:cs="Calibri"/>
          <w:color w:val="000000"/>
          <w:kern w:val="0"/>
          <w:sz w:val="20"/>
          <w:szCs w:val="20"/>
          <w:lang w:eastAsia="es-MX"/>
          <w14:ligatures w14:val="none"/>
        </w:rPr>
        <w:t>ceso de producción</w:t>
      </w:r>
      <w:r w:rsidRPr="00DE2869">
        <w:rPr>
          <w:rFonts w:ascii="Calibri" w:eastAsia="Times New Roman" w:hAnsi="Calibri" w:cs="Calibri"/>
          <w:color w:val="000000"/>
          <w:kern w:val="0"/>
          <w:sz w:val="20"/>
          <w:szCs w:val="20"/>
          <w:lang w:eastAsia="es-MX"/>
          <w14:ligatures w14:val="none"/>
        </w:rPr>
        <w:t xml:space="preserve"> se deberán especificar las variables principales y los dominios de estudio. También, se deberá indicar cual fue la metodología usada para la estimación de la varianza del estimador. En el caso de que la estimación del parámetro de interés sea cero, se deberá indicar que así fue y que no se calculará el indicador. También se deberá tener cuidado con la interpretación del coeficiente de variación cuando el parámetro de interés es un porcentaje.</w:t>
      </w:r>
    </w:p>
    <w:p w14:paraId="0CB2097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618869D8" w:rsidR="00100E12"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9510D8">
        <w:rPr>
          <w:rFonts w:ascii="Calibri" w:eastAsia="Times New Roman" w:hAnsi="Calibri" w:cs="Calibri"/>
          <w:color w:val="000000"/>
          <w:kern w:val="0"/>
          <w:sz w:val="20"/>
          <w:szCs w:val="20"/>
          <w:lang w:eastAsia="es-MX"/>
          <w14:ligatures w14:val="none"/>
        </w:rPr>
        <w:t>A partir de algunas pruebas ya realizadas sobre la distribución de los coeficientes de variación y del análisis de algunas de las experiencias internacionales, se establecieron, en el acuerdo CAC-006/01/2018 los límites de aceptación que se mencionan a continuación con el propósito de proporcionar mayores elementos al usuario para la interpretación de la calidad de los datos.</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0458155" w14:textId="0BCE39C3"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9510D8">
        <w:rPr>
          <w:rFonts w:ascii="Calibri" w:eastAsia="Times New Roman" w:hAnsi="Calibri" w:cs="Calibri"/>
          <w:color w:val="000000"/>
          <w:kern w:val="0"/>
          <w:sz w:val="20"/>
          <w:szCs w:val="20"/>
          <w:lang w:eastAsia="es-MX"/>
          <w14:ligatures w14:val="none"/>
        </w:rPr>
        <w:t>Para los pro</w:t>
      </w:r>
      <w:r>
        <w:rPr>
          <w:rFonts w:ascii="Calibri" w:eastAsia="Times New Roman" w:hAnsi="Calibri" w:cs="Calibri"/>
          <w:color w:val="000000"/>
          <w:kern w:val="0"/>
          <w:sz w:val="20"/>
          <w:szCs w:val="20"/>
          <w:lang w:eastAsia="es-MX"/>
          <w14:ligatures w14:val="none"/>
        </w:rPr>
        <w:t>cesos de producción</w:t>
      </w:r>
      <w:r w:rsidRPr="009510D8">
        <w:rPr>
          <w:rFonts w:ascii="Calibri" w:eastAsia="Times New Roman" w:hAnsi="Calibri" w:cs="Calibri"/>
          <w:color w:val="000000"/>
          <w:kern w:val="0"/>
          <w:sz w:val="20"/>
          <w:szCs w:val="20"/>
          <w:lang w:eastAsia="es-MX"/>
          <w14:ligatures w14:val="none"/>
        </w:rPr>
        <w:t xml:space="preserve"> en unidades económicas (incluye unidades agropecuarias):</w:t>
      </w:r>
    </w:p>
    <w:p w14:paraId="4101D394"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F5C1160" w14:textId="426EC080"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Alto</w:t>
      </w:r>
    </w:p>
    <w:p w14:paraId="63B5A25F" w14:textId="087336DE"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[0%-20%)</w:t>
      </w:r>
    </w:p>
    <w:p w14:paraId="481644BD" w14:textId="594AE3CA"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Si el coeficiente de variación se encuentra entre el 0% y el 20%, la estimación es considerada "Alta", es decir, que tiene un alto grado de confiabilidad.</w:t>
      </w:r>
    </w:p>
    <w:p w14:paraId="005C0274" w14:textId="3C69089B"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Media</w:t>
      </w:r>
    </w:p>
    <w:p w14:paraId="64D6D0F7" w14:textId="39498216"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[20%-30%)</w:t>
      </w:r>
    </w:p>
    <w:p w14:paraId="201B86BE" w14:textId="4A7D8BAA"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Si el coeficiente de variación es mayor al 20% pero menor a 30%, la estimación se considera "Moderada", lo que indica que la estimación tiene un grado de confiabilidad tolerable.</w:t>
      </w:r>
    </w:p>
    <w:p w14:paraId="591084B5" w14:textId="0E5BD5EB"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Baja</w:t>
      </w:r>
    </w:p>
    <w:p w14:paraId="69BFE952" w14:textId="342C59C2"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&gt;= 30%</w:t>
      </w:r>
    </w:p>
    <w:p w14:paraId="0266D944" w14:textId="6A774168"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 xml:space="preserve">Si el coeficiente de variación es </w:t>
      </w:r>
      <w:r>
        <w:rPr>
          <w:rFonts w:ascii="Calibri" w:eastAsia="Times New Roman" w:hAnsi="Calibri" w:cs="Calibri"/>
          <w:color w:val="000000"/>
          <w:kern w:val="0"/>
          <w:sz w:val="20"/>
          <w:szCs w:val="20"/>
          <w:lang w:eastAsia="es-MX"/>
          <w14:ligatures w14:val="none"/>
        </w:rPr>
        <w:t>mayor</w:t>
      </w:r>
      <w:r w:rsidRPr="007D2115">
        <w:rPr>
          <w:rFonts w:ascii="Calibri" w:eastAsia="Times New Roman" w:hAnsi="Calibri" w:cs="Calibri"/>
          <w:color w:val="000000"/>
          <w:kern w:val="0"/>
          <w:sz w:val="20"/>
          <w:szCs w:val="20"/>
          <w:lang w:eastAsia="es-MX"/>
          <w14:ligatures w14:val="none"/>
        </w:rPr>
        <w:t xml:space="preserve"> o igual a 30%, dicha estimación deberá ser considerada "Baja" y con reserva, en razón de su baja confiabilidad, por lo que se deberá utilizar únicamente para fines descriptivos o identificación de tendencias. El origen de esta situación puede estar asociado tanto a factores de diseño como ajenos al mismo.</w:t>
      </w:r>
    </w:p>
    <w:p w14:paraId="6141A737" w14:textId="0CC0C132" w:rsidR="00100E12" w:rsidRPr="00100E12" w:rsidRDefault="00100E12" w:rsidP="00100E12">
      <w:pPr>
        <w:pStyle w:val="Prrafodelista"/>
        <w:spacing w:after="0"/>
        <w:ind w:left="360"/>
        <w:rPr>
          <w:sz w:val="20"/>
          <w:szCs w:val="20"/>
        </w:rPr>
      </w:pPr>
    </w:p>
    <w:p w14:paraId="1B149B0C" w14:textId="39128588" w:rsidR="009546E7" w:rsidRDefault="007D2115" w:rsidP="007D2115">
      <w:pPr>
        <w:spacing w:after="0"/>
        <w:ind w:left="426"/>
        <w:rPr>
          <w:sz w:val="20"/>
          <w:szCs w:val="20"/>
        </w:rPr>
      </w:pPr>
      <w:r w:rsidRPr="007D2115">
        <w:rPr>
          <w:sz w:val="20"/>
          <w:szCs w:val="20"/>
        </w:rPr>
        <w:t>Para los pro</w:t>
      </w:r>
      <w:r>
        <w:rPr>
          <w:sz w:val="20"/>
          <w:szCs w:val="20"/>
        </w:rPr>
        <w:t>cesos de producción</w:t>
      </w:r>
      <w:r w:rsidRPr="007D2115">
        <w:rPr>
          <w:sz w:val="20"/>
          <w:szCs w:val="20"/>
        </w:rPr>
        <w:t xml:space="preserve"> en </w:t>
      </w:r>
      <w:r>
        <w:rPr>
          <w:sz w:val="20"/>
          <w:szCs w:val="20"/>
        </w:rPr>
        <w:t>V</w:t>
      </w:r>
      <w:r w:rsidRPr="007D2115">
        <w:rPr>
          <w:sz w:val="20"/>
          <w:szCs w:val="20"/>
        </w:rPr>
        <w:t>iviendas / Hogares / Otras unidades diferentes a las económicas :</w:t>
      </w:r>
    </w:p>
    <w:p w14:paraId="2F5101A8" w14:textId="77777777" w:rsidR="007D2115" w:rsidRDefault="007D2115" w:rsidP="007D2115">
      <w:pPr>
        <w:spacing w:after="0"/>
        <w:ind w:left="426"/>
        <w:rPr>
          <w:sz w:val="20"/>
          <w:szCs w:val="20"/>
        </w:rPr>
      </w:pPr>
    </w:p>
    <w:p w14:paraId="722D6AA2" w14:textId="77777777"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Alto</w:t>
      </w:r>
    </w:p>
    <w:p w14:paraId="5360CD40" w14:textId="07955067"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[0%-15%)</w:t>
      </w:r>
    </w:p>
    <w:p w14:paraId="43AEE897" w14:textId="76EA77EF"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Si el coeficiente de variación se encuentra entre el 0% y el 15%, la estimación es considerada "Alta", es decir, que tiene un alto grado de confiabilidad.</w:t>
      </w:r>
    </w:p>
    <w:p w14:paraId="281DC89E" w14:textId="77777777"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Media</w:t>
      </w:r>
    </w:p>
    <w:p w14:paraId="19A60E1F" w14:textId="2886F500"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lastRenderedPageBreak/>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[15%-30%)</w:t>
      </w:r>
    </w:p>
    <w:p w14:paraId="127881FF" w14:textId="0CF5CB84"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Si el coeficiente de variación es mayor al 15% pero menor a 30%, la estimación se considera "Moderada", lo que indica que la estimación tiene un grado de confiabilidad tolerable.</w:t>
      </w:r>
    </w:p>
    <w:p w14:paraId="341FD919" w14:textId="77777777" w:rsidR="007D2115" w:rsidRDefault="007D2115" w:rsidP="007D2115">
      <w:pPr>
        <w:pStyle w:val="Prrafodelista"/>
        <w:numPr>
          <w:ilvl w:val="0"/>
          <w:numId w:val="11"/>
        </w:numPr>
        <w:spacing w:after="0" w:line="240" w:lineRule="auto"/>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Baja</w:t>
      </w:r>
    </w:p>
    <w:p w14:paraId="44D8562B" w14:textId="77777777" w:rsidR="007D2115"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&gt;= 30%</w:t>
      </w:r>
    </w:p>
    <w:p w14:paraId="3A6E9167" w14:textId="527D344C" w:rsidR="007D2115" w:rsidRPr="009510D8" w:rsidRDefault="007D2115" w:rsidP="007D2115">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7D2115">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7D2115">
        <w:rPr>
          <w:rFonts w:ascii="Calibri" w:eastAsia="Times New Roman" w:hAnsi="Calibri" w:cs="Calibri"/>
          <w:color w:val="000000"/>
          <w:kern w:val="0"/>
          <w:sz w:val="20"/>
          <w:szCs w:val="20"/>
          <w:lang w:eastAsia="es-MX"/>
          <w14:ligatures w14:val="none"/>
        </w:rPr>
        <w:t>Si el coeficiente de variación es mayor o igual a 30%, dicha estimación deberá ser considerada "Baja" y con reserva, en raz</w:t>
      </w:r>
      <w:r>
        <w:rPr>
          <w:rFonts w:ascii="Calibri" w:eastAsia="Times New Roman" w:hAnsi="Calibri" w:cs="Calibri"/>
          <w:color w:val="000000"/>
          <w:kern w:val="0"/>
          <w:sz w:val="20"/>
          <w:szCs w:val="20"/>
          <w:lang w:eastAsia="es-MX"/>
          <w14:ligatures w14:val="none"/>
        </w:rPr>
        <w:t>ó</w:t>
      </w:r>
      <w:r w:rsidRPr="007D2115">
        <w:rPr>
          <w:rFonts w:ascii="Calibri" w:eastAsia="Times New Roman" w:hAnsi="Calibri" w:cs="Calibri"/>
          <w:color w:val="000000"/>
          <w:kern w:val="0"/>
          <w:sz w:val="20"/>
          <w:szCs w:val="20"/>
          <w:lang w:eastAsia="es-MX"/>
          <w14:ligatures w14:val="none"/>
        </w:rPr>
        <w:t>n de su baja confiabilidad, por lo que se deberá utilizar únicamente para fines descriptivos o identificación de tendencias. El origen de esta situación puede estar asociado tanto a factores de diseño como ajenos al mismo.</w:t>
      </w:r>
    </w:p>
    <w:p w14:paraId="4E9B464E" w14:textId="77777777" w:rsidR="007D2115" w:rsidRDefault="007D2115" w:rsidP="007D2115">
      <w:pPr>
        <w:spacing w:after="0"/>
        <w:ind w:left="426"/>
        <w:rPr>
          <w:sz w:val="20"/>
          <w:szCs w:val="20"/>
        </w:rPr>
      </w:pPr>
    </w:p>
    <w:p w14:paraId="2D81A37F" w14:textId="77777777" w:rsidR="002F559F" w:rsidRDefault="007D2115" w:rsidP="002F559F">
      <w:pPr>
        <w:spacing w:after="0"/>
        <w:ind w:left="426"/>
        <w:jc w:val="both"/>
        <w:rPr>
          <w:sz w:val="20"/>
          <w:szCs w:val="20"/>
        </w:rPr>
      </w:pPr>
      <w:r w:rsidRPr="007D2115">
        <w:rPr>
          <w:sz w:val="20"/>
          <w:szCs w:val="20"/>
        </w:rPr>
        <w:t>Además, a fin de facilitar la interpretación de la precisión estadística de las estimaciones, actualmente, en algunos pro</w:t>
      </w:r>
      <w:r>
        <w:rPr>
          <w:sz w:val="20"/>
          <w:szCs w:val="20"/>
        </w:rPr>
        <w:t>cesos de producción</w:t>
      </w:r>
      <w:r w:rsidRPr="007D2115">
        <w:rPr>
          <w:sz w:val="20"/>
          <w:szCs w:val="20"/>
        </w:rPr>
        <w:t xml:space="preserve"> con muestreo probabilístico</w:t>
      </w:r>
      <w:r w:rsidR="002F559F">
        <w:rPr>
          <w:sz w:val="20"/>
          <w:szCs w:val="20"/>
        </w:rPr>
        <w:t>,</w:t>
      </w:r>
      <w:r w:rsidRPr="007D2115">
        <w:rPr>
          <w:sz w:val="20"/>
          <w:szCs w:val="20"/>
        </w:rPr>
        <w:t xml:space="preserve"> se utilizan colores de fondo para identificar el rango al que corresponden sus respectivos coeficientes de variación. A este procedimiento se le denomina semaforización y se aplica, en algunos pro</w:t>
      </w:r>
      <w:r w:rsidR="002F559F">
        <w:rPr>
          <w:sz w:val="20"/>
          <w:szCs w:val="20"/>
        </w:rPr>
        <w:t>cesos</w:t>
      </w:r>
      <w:r w:rsidRPr="007D2115">
        <w:rPr>
          <w:sz w:val="20"/>
          <w:szCs w:val="20"/>
        </w:rPr>
        <w:t>, a los resultados que se publican a través de</w:t>
      </w:r>
      <w:r w:rsidR="002F559F">
        <w:rPr>
          <w:sz w:val="20"/>
          <w:szCs w:val="20"/>
        </w:rPr>
        <w:t xml:space="preserve"> </w:t>
      </w:r>
      <w:r w:rsidRPr="007D2115">
        <w:rPr>
          <w:sz w:val="20"/>
          <w:szCs w:val="20"/>
        </w:rPr>
        <w:t>tabulados.</w:t>
      </w:r>
    </w:p>
    <w:p w14:paraId="30577B53" w14:textId="3A19F0DC" w:rsidR="009546E7" w:rsidRDefault="007D2115" w:rsidP="002F559F">
      <w:pPr>
        <w:spacing w:after="0"/>
        <w:ind w:left="426"/>
        <w:jc w:val="both"/>
        <w:rPr>
          <w:sz w:val="20"/>
          <w:szCs w:val="20"/>
        </w:rPr>
      </w:pPr>
      <w:r w:rsidRPr="007D2115">
        <w:rPr>
          <w:sz w:val="20"/>
          <w:szCs w:val="20"/>
        </w:rPr>
        <w:t xml:space="preserve">                                                                                                                                                                                                                                                         Para asegurar la uniformidad de la tonalidad de los colores utilizados en la semaforización, se considera conveniente el uso de los mismos valores del código de colores RGB como se ejemplifica a continuación</w:t>
      </w:r>
      <w:r w:rsidR="002F559F">
        <w:rPr>
          <w:sz w:val="20"/>
          <w:szCs w:val="20"/>
        </w:rPr>
        <w:t>:</w:t>
      </w:r>
    </w:p>
    <w:p w14:paraId="1D53DCA7" w14:textId="77777777" w:rsidR="002F559F" w:rsidRDefault="002F559F" w:rsidP="002F559F">
      <w:pPr>
        <w:spacing w:after="0"/>
        <w:ind w:left="426"/>
        <w:jc w:val="both"/>
        <w:rPr>
          <w:sz w:val="20"/>
          <w:szCs w:val="20"/>
        </w:rPr>
      </w:pPr>
    </w:p>
    <w:tbl>
      <w:tblPr>
        <w:tblW w:w="8363" w:type="dxa"/>
        <w:tblInd w:w="421" w:type="dxa"/>
        <w:tblLayout w:type="fixed"/>
        <w:tblCellMar>
          <w:left w:w="70" w:type="dxa"/>
          <w:right w:w="70" w:type="dxa"/>
        </w:tblCellMar>
        <w:tblLook w:val="04A0" w:firstRow="1" w:lastRow="0" w:firstColumn="1" w:lastColumn="0" w:noHBand="0" w:noVBand="1"/>
      </w:tblPr>
      <w:tblGrid>
        <w:gridCol w:w="1842"/>
        <w:gridCol w:w="2474"/>
        <w:gridCol w:w="1354"/>
        <w:gridCol w:w="1417"/>
        <w:gridCol w:w="1276"/>
      </w:tblGrid>
      <w:tr w:rsidR="002F559F" w:rsidRPr="002F559F" w14:paraId="2309913C" w14:textId="77777777" w:rsidTr="002F559F">
        <w:trPr>
          <w:trHeight w:val="480"/>
        </w:trPr>
        <w:tc>
          <w:tcPr>
            <w:tcW w:w="1842"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30A6EED5" w14:textId="562711CB"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Características de la estimación</w:t>
            </w:r>
          </w:p>
        </w:tc>
        <w:tc>
          <w:tcPr>
            <w:tcW w:w="2474"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0F2538E6" w14:textId="77777777"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 xml:space="preserve"> Semaforización</w:t>
            </w:r>
          </w:p>
        </w:tc>
        <w:tc>
          <w:tcPr>
            <w:tcW w:w="4047" w:type="dxa"/>
            <w:gridSpan w:val="3"/>
            <w:tcBorders>
              <w:top w:val="single" w:sz="4" w:space="0" w:color="auto"/>
              <w:left w:val="nil"/>
              <w:bottom w:val="single" w:sz="4" w:space="0" w:color="auto"/>
              <w:right w:val="single" w:sz="4" w:space="0" w:color="000000"/>
            </w:tcBorders>
            <w:shd w:val="clear" w:color="000000" w:fill="BFBFBF"/>
            <w:vAlign w:val="center"/>
            <w:hideMark/>
          </w:tcPr>
          <w:p w14:paraId="22048907" w14:textId="77777777"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Mezcla aditiva de colores</w:t>
            </w:r>
          </w:p>
        </w:tc>
      </w:tr>
      <w:tr w:rsidR="002F559F" w:rsidRPr="002F559F" w14:paraId="37EDB8AC" w14:textId="77777777" w:rsidTr="002F559F">
        <w:trPr>
          <w:trHeight w:val="375"/>
        </w:trPr>
        <w:tc>
          <w:tcPr>
            <w:tcW w:w="1842" w:type="dxa"/>
            <w:vMerge/>
            <w:tcBorders>
              <w:top w:val="single" w:sz="4" w:space="0" w:color="auto"/>
              <w:left w:val="single" w:sz="4" w:space="0" w:color="auto"/>
              <w:bottom w:val="single" w:sz="4" w:space="0" w:color="000000"/>
              <w:right w:val="single" w:sz="4" w:space="0" w:color="000000"/>
            </w:tcBorders>
            <w:vAlign w:val="center"/>
            <w:hideMark/>
          </w:tcPr>
          <w:p w14:paraId="41156D69" w14:textId="77777777" w:rsidR="002F559F" w:rsidRPr="002F559F" w:rsidRDefault="002F559F" w:rsidP="002F559F">
            <w:pPr>
              <w:spacing w:after="0" w:line="240" w:lineRule="auto"/>
              <w:rPr>
                <w:rFonts w:ascii="Calibri" w:eastAsia="Times New Roman" w:hAnsi="Calibri" w:cs="Calibri"/>
                <w:b/>
                <w:bCs/>
                <w:color w:val="000000"/>
                <w:kern w:val="0"/>
                <w:sz w:val="20"/>
                <w:szCs w:val="20"/>
                <w:lang w:eastAsia="es-MX"/>
                <w14:ligatures w14:val="none"/>
              </w:rPr>
            </w:pPr>
          </w:p>
        </w:tc>
        <w:tc>
          <w:tcPr>
            <w:tcW w:w="2474" w:type="dxa"/>
            <w:vMerge/>
            <w:tcBorders>
              <w:top w:val="single" w:sz="4" w:space="0" w:color="auto"/>
              <w:left w:val="single" w:sz="4" w:space="0" w:color="auto"/>
              <w:bottom w:val="single" w:sz="4" w:space="0" w:color="000000"/>
              <w:right w:val="single" w:sz="4" w:space="0" w:color="000000"/>
            </w:tcBorders>
            <w:vAlign w:val="center"/>
            <w:hideMark/>
          </w:tcPr>
          <w:p w14:paraId="6E131AFA" w14:textId="77777777" w:rsidR="002F559F" w:rsidRPr="002F559F" w:rsidRDefault="002F559F" w:rsidP="002F559F">
            <w:pPr>
              <w:spacing w:after="0" w:line="240" w:lineRule="auto"/>
              <w:rPr>
                <w:rFonts w:ascii="Calibri" w:eastAsia="Times New Roman" w:hAnsi="Calibri" w:cs="Calibri"/>
                <w:b/>
                <w:bCs/>
                <w:color w:val="000000"/>
                <w:kern w:val="0"/>
                <w:sz w:val="20"/>
                <w:szCs w:val="20"/>
                <w:lang w:eastAsia="es-MX"/>
                <w14:ligatures w14:val="none"/>
              </w:rPr>
            </w:pPr>
          </w:p>
        </w:tc>
        <w:tc>
          <w:tcPr>
            <w:tcW w:w="1354" w:type="dxa"/>
            <w:tcBorders>
              <w:top w:val="single" w:sz="4" w:space="0" w:color="auto"/>
              <w:left w:val="nil"/>
              <w:bottom w:val="single" w:sz="4" w:space="0" w:color="auto"/>
              <w:right w:val="single" w:sz="4" w:space="0" w:color="000000"/>
            </w:tcBorders>
            <w:shd w:val="clear" w:color="000000" w:fill="BFBFBF"/>
            <w:vAlign w:val="center"/>
            <w:hideMark/>
          </w:tcPr>
          <w:p w14:paraId="6DFECDBF" w14:textId="77777777"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Rojo</w:t>
            </w:r>
          </w:p>
        </w:tc>
        <w:tc>
          <w:tcPr>
            <w:tcW w:w="1417" w:type="dxa"/>
            <w:tcBorders>
              <w:top w:val="nil"/>
              <w:left w:val="nil"/>
              <w:bottom w:val="single" w:sz="4" w:space="0" w:color="auto"/>
              <w:right w:val="single" w:sz="4" w:space="0" w:color="auto"/>
            </w:tcBorders>
            <w:shd w:val="clear" w:color="000000" w:fill="BFBFBF"/>
            <w:vAlign w:val="center"/>
            <w:hideMark/>
          </w:tcPr>
          <w:p w14:paraId="63280C00" w14:textId="77777777"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Verde</w:t>
            </w:r>
          </w:p>
        </w:tc>
        <w:tc>
          <w:tcPr>
            <w:tcW w:w="1276" w:type="dxa"/>
            <w:tcBorders>
              <w:top w:val="single" w:sz="4" w:space="0" w:color="auto"/>
              <w:left w:val="nil"/>
              <w:bottom w:val="single" w:sz="4" w:space="0" w:color="auto"/>
              <w:right w:val="single" w:sz="4" w:space="0" w:color="000000"/>
            </w:tcBorders>
            <w:shd w:val="clear" w:color="000000" w:fill="BFBFBF"/>
            <w:vAlign w:val="center"/>
            <w:hideMark/>
          </w:tcPr>
          <w:p w14:paraId="12614055" w14:textId="77777777" w:rsidR="002F559F" w:rsidRPr="002F559F" w:rsidRDefault="002F559F" w:rsidP="002F559F">
            <w:pPr>
              <w:spacing w:after="0" w:line="240" w:lineRule="auto"/>
              <w:jc w:val="center"/>
              <w:rPr>
                <w:rFonts w:ascii="Calibri" w:eastAsia="Times New Roman" w:hAnsi="Calibri" w:cs="Calibri"/>
                <w:b/>
                <w:bCs/>
                <w:color w:val="000000"/>
                <w:kern w:val="0"/>
                <w:sz w:val="20"/>
                <w:szCs w:val="20"/>
                <w:lang w:eastAsia="es-MX"/>
                <w14:ligatures w14:val="none"/>
              </w:rPr>
            </w:pPr>
            <w:r w:rsidRPr="002F559F">
              <w:rPr>
                <w:rFonts w:ascii="Calibri" w:eastAsia="Times New Roman" w:hAnsi="Calibri" w:cs="Calibri"/>
                <w:b/>
                <w:bCs/>
                <w:color w:val="000000"/>
                <w:kern w:val="0"/>
                <w:sz w:val="20"/>
                <w:szCs w:val="20"/>
                <w:lang w:eastAsia="es-MX"/>
                <w14:ligatures w14:val="none"/>
              </w:rPr>
              <w:t>Azul</w:t>
            </w:r>
          </w:p>
        </w:tc>
      </w:tr>
      <w:tr w:rsidR="002F559F" w:rsidRPr="002F559F" w14:paraId="42998247" w14:textId="77777777" w:rsidTr="002F559F">
        <w:trPr>
          <w:trHeight w:val="439"/>
        </w:trPr>
        <w:tc>
          <w:tcPr>
            <w:tcW w:w="1842" w:type="dxa"/>
            <w:tcBorders>
              <w:top w:val="single" w:sz="4" w:space="0" w:color="auto"/>
              <w:left w:val="single" w:sz="4" w:space="0" w:color="auto"/>
              <w:bottom w:val="single" w:sz="4" w:space="0" w:color="auto"/>
              <w:right w:val="single" w:sz="4" w:space="0" w:color="000000"/>
            </w:tcBorders>
            <w:vAlign w:val="center"/>
            <w:hideMark/>
          </w:tcPr>
          <w:p w14:paraId="35D27660"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Alta</w:t>
            </w:r>
          </w:p>
        </w:tc>
        <w:tc>
          <w:tcPr>
            <w:tcW w:w="2474" w:type="dxa"/>
            <w:tcBorders>
              <w:top w:val="single" w:sz="4" w:space="0" w:color="auto"/>
              <w:left w:val="nil"/>
              <w:bottom w:val="single" w:sz="4" w:space="0" w:color="auto"/>
              <w:right w:val="single" w:sz="4" w:space="0" w:color="000000"/>
            </w:tcBorders>
            <w:shd w:val="clear" w:color="000000" w:fill="FFFFFF"/>
            <w:vAlign w:val="center"/>
            <w:hideMark/>
          </w:tcPr>
          <w:p w14:paraId="66141D2F"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Blanco</w:t>
            </w:r>
          </w:p>
        </w:tc>
        <w:tc>
          <w:tcPr>
            <w:tcW w:w="1354" w:type="dxa"/>
            <w:tcBorders>
              <w:top w:val="single" w:sz="4" w:space="0" w:color="auto"/>
              <w:left w:val="nil"/>
              <w:bottom w:val="single" w:sz="4" w:space="0" w:color="auto"/>
              <w:right w:val="single" w:sz="4" w:space="0" w:color="000000"/>
            </w:tcBorders>
            <w:vAlign w:val="center"/>
            <w:hideMark/>
          </w:tcPr>
          <w:p w14:paraId="2CB08BE3"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0BF347F4"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255</w:t>
            </w:r>
          </w:p>
        </w:tc>
        <w:tc>
          <w:tcPr>
            <w:tcW w:w="1276" w:type="dxa"/>
            <w:tcBorders>
              <w:top w:val="single" w:sz="4" w:space="0" w:color="auto"/>
              <w:left w:val="nil"/>
              <w:bottom w:val="single" w:sz="4" w:space="0" w:color="auto"/>
              <w:right w:val="single" w:sz="4" w:space="0" w:color="000000"/>
            </w:tcBorders>
            <w:vAlign w:val="center"/>
            <w:hideMark/>
          </w:tcPr>
          <w:p w14:paraId="0F1C0FDE"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255</w:t>
            </w:r>
          </w:p>
        </w:tc>
      </w:tr>
      <w:tr w:rsidR="002F559F" w:rsidRPr="002F559F" w14:paraId="0B846E1A" w14:textId="77777777" w:rsidTr="002F559F">
        <w:trPr>
          <w:trHeight w:val="439"/>
        </w:trPr>
        <w:tc>
          <w:tcPr>
            <w:tcW w:w="1842" w:type="dxa"/>
            <w:tcBorders>
              <w:top w:val="single" w:sz="4" w:space="0" w:color="auto"/>
              <w:left w:val="single" w:sz="4" w:space="0" w:color="auto"/>
              <w:bottom w:val="single" w:sz="4" w:space="0" w:color="auto"/>
              <w:right w:val="single" w:sz="4" w:space="0" w:color="000000"/>
            </w:tcBorders>
            <w:vAlign w:val="center"/>
            <w:hideMark/>
          </w:tcPr>
          <w:p w14:paraId="1627B457"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Media</w:t>
            </w:r>
          </w:p>
        </w:tc>
        <w:tc>
          <w:tcPr>
            <w:tcW w:w="2474" w:type="dxa"/>
            <w:tcBorders>
              <w:top w:val="single" w:sz="4" w:space="0" w:color="auto"/>
              <w:left w:val="nil"/>
              <w:bottom w:val="single" w:sz="4" w:space="0" w:color="auto"/>
              <w:right w:val="single" w:sz="4" w:space="0" w:color="000000"/>
            </w:tcBorders>
            <w:shd w:val="clear" w:color="000000" w:fill="FFEA00"/>
            <w:vAlign w:val="center"/>
            <w:hideMark/>
          </w:tcPr>
          <w:p w14:paraId="0C3E1938"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Amarillo</w:t>
            </w:r>
          </w:p>
        </w:tc>
        <w:tc>
          <w:tcPr>
            <w:tcW w:w="1354" w:type="dxa"/>
            <w:tcBorders>
              <w:top w:val="single" w:sz="4" w:space="0" w:color="auto"/>
              <w:left w:val="nil"/>
              <w:bottom w:val="single" w:sz="4" w:space="0" w:color="auto"/>
              <w:right w:val="single" w:sz="4" w:space="0" w:color="000000"/>
            </w:tcBorders>
            <w:vAlign w:val="center"/>
            <w:hideMark/>
          </w:tcPr>
          <w:p w14:paraId="455A21E1"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2DD298D8"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234</w:t>
            </w:r>
          </w:p>
        </w:tc>
        <w:tc>
          <w:tcPr>
            <w:tcW w:w="1276" w:type="dxa"/>
            <w:tcBorders>
              <w:top w:val="single" w:sz="4" w:space="0" w:color="auto"/>
              <w:left w:val="nil"/>
              <w:bottom w:val="single" w:sz="4" w:space="0" w:color="auto"/>
              <w:right w:val="single" w:sz="4" w:space="0" w:color="000000"/>
            </w:tcBorders>
            <w:vAlign w:val="center"/>
            <w:hideMark/>
          </w:tcPr>
          <w:p w14:paraId="033E63B9"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0</w:t>
            </w:r>
          </w:p>
        </w:tc>
      </w:tr>
      <w:tr w:rsidR="002F559F" w:rsidRPr="002F559F" w14:paraId="130C274C" w14:textId="77777777" w:rsidTr="002F559F">
        <w:trPr>
          <w:trHeight w:val="435"/>
        </w:trPr>
        <w:tc>
          <w:tcPr>
            <w:tcW w:w="1842" w:type="dxa"/>
            <w:tcBorders>
              <w:top w:val="single" w:sz="4" w:space="0" w:color="auto"/>
              <w:left w:val="single" w:sz="4" w:space="0" w:color="auto"/>
              <w:bottom w:val="single" w:sz="4" w:space="0" w:color="auto"/>
              <w:right w:val="single" w:sz="4" w:space="0" w:color="000000"/>
            </w:tcBorders>
            <w:vAlign w:val="center"/>
            <w:hideMark/>
          </w:tcPr>
          <w:p w14:paraId="72809045"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Baja</w:t>
            </w:r>
          </w:p>
        </w:tc>
        <w:tc>
          <w:tcPr>
            <w:tcW w:w="2474" w:type="dxa"/>
            <w:tcBorders>
              <w:top w:val="single" w:sz="4" w:space="0" w:color="auto"/>
              <w:left w:val="nil"/>
              <w:bottom w:val="single" w:sz="4" w:space="0" w:color="auto"/>
              <w:right w:val="single" w:sz="4" w:space="0" w:color="000000"/>
            </w:tcBorders>
            <w:shd w:val="clear" w:color="000000" w:fill="FF5400"/>
            <w:vAlign w:val="center"/>
            <w:hideMark/>
          </w:tcPr>
          <w:p w14:paraId="492B9A12"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Naranja</w:t>
            </w:r>
          </w:p>
        </w:tc>
        <w:tc>
          <w:tcPr>
            <w:tcW w:w="1354" w:type="dxa"/>
            <w:tcBorders>
              <w:top w:val="single" w:sz="4" w:space="0" w:color="auto"/>
              <w:left w:val="nil"/>
              <w:bottom w:val="single" w:sz="4" w:space="0" w:color="auto"/>
              <w:right w:val="single" w:sz="4" w:space="0" w:color="000000"/>
            </w:tcBorders>
            <w:vAlign w:val="center"/>
            <w:hideMark/>
          </w:tcPr>
          <w:p w14:paraId="28C28E90" w14:textId="77777777" w:rsidR="002F559F" w:rsidRPr="002F559F" w:rsidRDefault="002F559F" w:rsidP="002F559F">
            <w:pPr>
              <w:spacing w:after="0" w:line="240" w:lineRule="auto"/>
              <w:jc w:val="center"/>
              <w:rPr>
                <w:rFonts w:ascii="Calibri" w:eastAsia="Times New Roman" w:hAnsi="Calibri" w:cs="Calibri"/>
                <w:color w:val="000000"/>
                <w:kern w:val="0"/>
                <w:sz w:val="20"/>
                <w:szCs w:val="20"/>
                <w:lang w:eastAsia="es-MX"/>
                <w14:ligatures w14:val="none"/>
              </w:rPr>
            </w:pPr>
            <w:r w:rsidRPr="002F559F">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4AE404FA"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84</w:t>
            </w:r>
          </w:p>
        </w:tc>
        <w:tc>
          <w:tcPr>
            <w:tcW w:w="1276" w:type="dxa"/>
            <w:tcBorders>
              <w:top w:val="single" w:sz="4" w:space="0" w:color="auto"/>
              <w:left w:val="nil"/>
              <w:bottom w:val="single" w:sz="4" w:space="0" w:color="auto"/>
              <w:right w:val="single" w:sz="4" w:space="0" w:color="000000"/>
            </w:tcBorders>
            <w:vAlign w:val="center"/>
            <w:hideMark/>
          </w:tcPr>
          <w:p w14:paraId="289FBC6B" w14:textId="77777777" w:rsidR="002F559F" w:rsidRPr="002F559F" w:rsidRDefault="002F559F" w:rsidP="002F559F">
            <w:pPr>
              <w:spacing w:after="0" w:line="240" w:lineRule="auto"/>
              <w:jc w:val="center"/>
              <w:rPr>
                <w:rFonts w:ascii="Calibri" w:eastAsia="Times New Roman" w:hAnsi="Calibri" w:cs="Calibri"/>
                <w:color w:val="000000"/>
                <w:kern w:val="0"/>
                <w:lang w:eastAsia="es-MX"/>
                <w14:ligatures w14:val="none"/>
              </w:rPr>
            </w:pPr>
            <w:r w:rsidRPr="002F559F">
              <w:rPr>
                <w:rFonts w:ascii="Calibri" w:eastAsia="Times New Roman" w:hAnsi="Calibri" w:cs="Calibri"/>
                <w:color w:val="000000"/>
                <w:kern w:val="0"/>
                <w:lang w:eastAsia="es-MX"/>
                <w14:ligatures w14:val="none"/>
              </w:rPr>
              <w:t>0</w:t>
            </w:r>
          </w:p>
        </w:tc>
      </w:tr>
    </w:tbl>
    <w:p w14:paraId="2572ED71" w14:textId="77777777" w:rsidR="002F559F" w:rsidRPr="009546E7" w:rsidRDefault="002F559F" w:rsidP="002F559F">
      <w:pPr>
        <w:spacing w:after="0"/>
        <w:ind w:left="426" w:right="333"/>
        <w:jc w:val="both"/>
        <w:rPr>
          <w:sz w:val="20"/>
          <w:szCs w:val="20"/>
        </w:rPr>
      </w:pP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7735DD"/>
    <w:multiLevelType w:val="hybridMultilevel"/>
    <w:tmpl w:val="20722CF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1"/>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 w:numId="12" w16cid:durableId="561209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F3707"/>
    <w:rsid w:val="00100E12"/>
    <w:rsid w:val="00125E0E"/>
    <w:rsid w:val="00186E2E"/>
    <w:rsid w:val="00206D7D"/>
    <w:rsid w:val="00235D6E"/>
    <w:rsid w:val="00294AE7"/>
    <w:rsid w:val="002A515E"/>
    <w:rsid w:val="002F559F"/>
    <w:rsid w:val="0033224A"/>
    <w:rsid w:val="00335E4E"/>
    <w:rsid w:val="003569FC"/>
    <w:rsid w:val="00367E0A"/>
    <w:rsid w:val="0042050E"/>
    <w:rsid w:val="00444B20"/>
    <w:rsid w:val="00464252"/>
    <w:rsid w:val="004836B2"/>
    <w:rsid w:val="004A0D61"/>
    <w:rsid w:val="004B32E5"/>
    <w:rsid w:val="004D2E5F"/>
    <w:rsid w:val="005D5F63"/>
    <w:rsid w:val="005E1F70"/>
    <w:rsid w:val="0061336D"/>
    <w:rsid w:val="00624EA3"/>
    <w:rsid w:val="00634AA4"/>
    <w:rsid w:val="00690384"/>
    <w:rsid w:val="006B2E16"/>
    <w:rsid w:val="00705EC1"/>
    <w:rsid w:val="00711025"/>
    <w:rsid w:val="007B774C"/>
    <w:rsid w:val="007D2115"/>
    <w:rsid w:val="00841F24"/>
    <w:rsid w:val="00872EB8"/>
    <w:rsid w:val="00897961"/>
    <w:rsid w:val="008C470B"/>
    <w:rsid w:val="00947989"/>
    <w:rsid w:val="009510D8"/>
    <w:rsid w:val="009546E7"/>
    <w:rsid w:val="0097395E"/>
    <w:rsid w:val="00984084"/>
    <w:rsid w:val="009935FA"/>
    <w:rsid w:val="009F0312"/>
    <w:rsid w:val="009F1250"/>
    <w:rsid w:val="00A50F8D"/>
    <w:rsid w:val="00BF4A5C"/>
    <w:rsid w:val="00CD5C52"/>
    <w:rsid w:val="00CF0E84"/>
    <w:rsid w:val="00D274BD"/>
    <w:rsid w:val="00D42E7D"/>
    <w:rsid w:val="00D468DB"/>
    <w:rsid w:val="00DE2869"/>
    <w:rsid w:val="00DF5B40"/>
    <w:rsid w:val="00E60F03"/>
    <w:rsid w:val="00EE62C9"/>
    <w:rsid w:val="00EF01DE"/>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5</Pages>
  <Words>1775</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32</cp:revision>
  <dcterms:created xsi:type="dcterms:W3CDTF">2025-07-23T17:19:00Z</dcterms:created>
  <dcterms:modified xsi:type="dcterms:W3CDTF">2025-10-09T17:27:00Z</dcterms:modified>
</cp:coreProperties>
</file>